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111827"/>
          <w:sz w:val="24"/>
          <w:szCs w:val="24"/>
        </w:rPr>
        <w:t xml:space="preserve">  geodashboard</w:t>
      </w:r>
    </w:p>
    <w:p>
      <w:pPr>
        <w:spacing w:after="80" w:line="300"/>
      </w:pPr>
      <w:r>
        <w:rPr>
          <w:rFonts w:ascii="Arial" w:cs="Arial" w:eastAsia="Arial" w:hAnsi="Arial"/>
          <w:b/>
          <w:bCs/>
          <w:color w:val="0052CC"/>
          <w:sz w:val="20"/>
          <w:szCs w:val="20"/>
        </w:rPr>
        <w:t xml:space="preserve">Particuliers</w:t>
      </w:r>
    </w:p>
    <w:p>
      <w:pPr>
        <w:pStyle w:val="Title"/>
        <w:spacing w:after="80"/>
      </w:pPr>
      <w:r>
        <w:rPr>
          <w:rFonts w:ascii="Arial" w:cs="Arial" w:eastAsia="Arial" w:hAnsi="Arial"/>
          <w:b/>
          <w:bCs/>
          <w:color w:val="1A1A2E"/>
          <w:sz w:val="52"/>
          <w:szCs w:val="52"/>
        </w:rPr>
        <w:t xml:space="preserve">Vivre à Vierzon</w:t>
      </w:r>
    </w:p>
    <w:p>
      <w:pPr>
        <w:spacing w:after="200" w:line="300"/>
      </w:pPr>
      <w:r>
        <w:rPr>
          <w:rFonts w:ascii="Arial" w:cs="Arial" w:eastAsia="Arial" w:hAnsi="Arial"/>
          <w:color w:val="5B6472"/>
          <w:sz w:val="32"/>
          <w:szCs w:val="32"/>
        </w:rPr>
        <w:t xml:space="preserve">Le rapport avant d'acheter ou de s'installer</w:t>
      </w:r>
    </w:p>
    <w:p>
      <w:pPr>
        <w:spacing w:after="400" w:line="300"/>
      </w:pPr>
      <w:r>
        <w:rPr>
          <w:rFonts w:ascii="Arial" w:cs="Arial" w:eastAsia="Arial" w:hAnsi="Arial"/>
          <w:color w:val="5B6472"/>
          <w:sz w:val="19"/>
          <w:szCs w:val="19"/>
        </w:rPr>
        <w:t xml:space="preserve">Commune · comparé au département (Cher) et à la France · données 2021 à 2026 · édité le 02/11/2026</w:t>
      </w:r>
    </w:p>
    <w:p>
      <w:pPr>
        <w:spacing w:after="200" w:line="300"/>
      </w:pPr>
      <w:r>
        <w:rPr>
          <w:rFonts w:ascii="Arial" w:cs="Arial" w:eastAsia="Arial" w:hAnsi="Arial"/>
          <w:color w:val="111827"/>
          <w:sz w:val="21"/>
          <w:szCs w:val="21"/>
        </w:rPr>
        <w:t xml:space="preserve">Avant d'acheter, de louer ou de vous installer à Vierzon, ce rapport rassemble ce qu'il faut savoir : prix et loyers, habitants, revenus, écoles et services, santé, sécurité, risques naturels et état du parc de logements. Chaque chiffre est comparé au département et à la France, à partir des données publiques officielles.</w:t>
      </w:r>
    </w:p>
    <w:p>
      <w:pPr>
        <w:spacing w:after="60" w:line="300"/>
      </w:pPr>
      <w:r>
        <w:rPr>
          <w:rFonts w:ascii="Arial" w:cs="Arial" w:eastAsia="Arial" w:hAnsi="Arial"/>
          <w:b/>
          <w:bCs/>
          <w:color w:val="111827"/>
          <w:sz w:val="20"/>
          <w:szCs w:val="20"/>
        </w:rPr>
        <w:t xml:space="preserve">Communes au profil semblable : </w:t>
      </w:r>
      <w:r>
        <w:rPr>
          <w:rFonts w:ascii="Arial" w:cs="Arial" w:eastAsia="Arial" w:hAnsi="Arial"/>
          <w:color w:val="111827"/>
          <w:sz w:val="20"/>
          <w:szCs w:val="20"/>
        </w:rPr>
        <w:t xml:space="preserve">Beaucaire (30), Lourdes (65), Châtellerault (86), Carcassonne (11), Forbach (57), Cambrai (59), Rochefort (17), Cahors (46), Montluçon (03), Gien (45).</w:t>
      </w:r>
    </w:p>
    <w:p>
      <w:pPr>
        <w:spacing w:after="240" w:line="300"/>
      </w:pPr>
      <w:r>
        <w:rPr>
          <w:rFonts w:ascii="Arial" w:cs="Arial" w:eastAsia="Arial" w:hAnsi="Arial"/>
          <w:color w:val="8A919C"/>
          <w:sz w:val="18"/>
          <w:szCs w:val="18"/>
        </w:rPr>
        <w:t xml:space="preserve">Retenues pour leur taille, leur densité, leur niveau de vie, leur part de 55 ans et plus, leur taux de chômage et leur part de locataires HLM ; la colonne « Semblables » donne la médiane de leurs valeurs.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ECFDF3"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forts</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Années de revenu pour acheter 70 m² (couple) : </w:t>
            </w:r>
            <w:r>
              <w:rPr>
                <w:rFonts w:ascii="Arial" w:cs="Arial" w:eastAsia="Arial" w:hAnsi="Arial"/>
                <w:b/>
                <w:bCs/>
                <w:color w:val="111827"/>
                <w:sz w:val="20"/>
                <w:szCs w:val="20"/>
              </w:rPr>
              <w:t xml:space="preserve">1,9 ans</w:t>
            </w:r>
            <w:r>
              <w:rPr>
                <w:rFonts w:ascii="Arial" w:cs="Arial" w:eastAsia="Arial" w:hAnsi="Arial"/>
                <w:color w:val="8A919C"/>
                <w:sz w:val="18"/>
                <w:szCs w:val="18"/>
              </w:rPr>
              <w:t xml:space="preserve"> (4 828e sur 5 063)</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EF3F2"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de vigilance</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pauvreté : </w:t>
            </w:r>
            <w:r>
              <w:rPr>
                <w:rFonts w:ascii="Arial" w:cs="Arial" w:eastAsia="Arial" w:hAnsi="Arial"/>
                <w:b/>
                <w:bCs/>
                <w:color w:val="111827"/>
                <w:sz w:val="20"/>
                <w:szCs w:val="20"/>
              </w:rPr>
              <w:t xml:space="preserve">24,0 %</w:t>
            </w:r>
            <w:r>
              <w:rPr>
                <w:rFonts w:ascii="Arial" w:cs="Arial" w:eastAsia="Arial" w:hAnsi="Arial"/>
                <w:color w:val="8A919C"/>
                <w:sz w:val="18"/>
                <w:szCs w:val="18"/>
              </w:rPr>
              <w:t xml:space="preserve"> (305e sur 4 301)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Accessibilité aux médecins généralistes (APL) : </w:t>
            </w:r>
            <w:r>
              <w:rPr>
                <w:rFonts w:ascii="Arial" w:cs="Arial" w:eastAsia="Arial" w:hAnsi="Arial"/>
                <w:b/>
                <w:bCs/>
                <w:color w:val="111827"/>
                <w:sz w:val="20"/>
                <w:szCs w:val="20"/>
              </w:rPr>
              <w:t xml:space="preserve">1,6</w:t>
            </w:r>
            <w:r>
              <w:rPr>
                <w:rFonts w:ascii="Arial" w:cs="Arial" w:eastAsia="Arial" w:hAnsi="Arial"/>
                <w:color w:val="8A919C"/>
                <w:sz w:val="18"/>
                <w:szCs w:val="18"/>
              </w:rPr>
              <w:t xml:space="preserve"> (29 917e sur 34 800)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Population en zone sous-dotée en médecins : </w:t>
            </w:r>
            <w:r>
              <w:rPr>
                <w:rFonts w:ascii="Arial" w:cs="Arial" w:eastAsia="Arial" w:hAnsi="Arial"/>
                <w:b/>
                <w:bCs/>
                <w:color w:val="111827"/>
                <w:sz w:val="20"/>
                <w:szCs w:val="20"/>
              </w:rPr>
              <w:t xml:space="preserve">100,0 %</w:t>
            </w:r>
            <w:r>
              <w:rPr>
                <w:rFonts w:ascii="Arial" w:cs="Arial" w:eastAsia="Arial" w:hAnsi="Arial"/>
                <w:color w:val="8A919C"/>
                <w:sz w:val="18"/>
                <w:szCs w:val="18"/>
              </w:rPr>
              <w:t xml:space="preserve"> (1e sur 34 740)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Cambriolages de logement pour 1 000 habitants : </w:t>
            </w:r>
            <w:r>
              <w:rPr>
                <w:rFonts w:ascii="Arial" w:cs="Arial" w:eastAsia="Arial" w:hAnsi="Arial"/>
                <w:b/>
                <w:bCs/>
                <w:color w:val="111827"/>
                <w:sz w:val="20"/>
                <w:szCs w:val="20"/>
              </w:rPr>
              <w:t xml:space="preserve">5,6</w:t>
            </w:r>
            <w:r>
              <w:rPr>
                <w:rFonts w:ascii="Arial" w:cs="Arial" w:eastAsia="Arial" w:hAnsi="Arial"/>
                <w:color w:val="8A919C"/>
                <w:sz w:val="18"/>
                <w:szCs w:val="18"/>
              </w:rPr>
              <w:t xml:space="preserve"> (710e sur 10 623)</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Violences physiques ou sexuelles pour 1 000 habitants : </w:t>
            </w:r>
            <w:r>
              <w:rPr>
                <w:rFonts w:ascii="Arial" w:cs="Arial" w:eastAsia="Arial" w:hAnsi="Arial"/>
                <w:b/>
                <w:bCs/>
                <w:color w:val="111827"/>
                <w:sz w:val="20"/>
                <w:szCs w:val="20"/>
              </w:rPr>
              <w:t xml:space="preserve">8,0</w:t>
            </w:r>
            <w:r>
              <w:rPr>
                <w:rFonts w:ascii="Arial" w:cs="Arial" w:eastAsia="Arial" w:hAnsi="Arial"/>
                <w:color w:val="8A919C"/>
                <w:sz w:val="18"/>
                <w:szCs w:val="18"/>
              </w:rPr>
              <w:t xml:space="preserve"> (1 606e sur 23 134)</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Vols liés aux véhicules pour 1 000 habitants : </w:t>
            </w:r>
            <w:r>
              <w:rPr>
                <w:rFonts w:ascii="Arial" w:cs="Arial" w:eastAsia="Arial" w:hAnsi="Arial"/>
                <w:b/>
                <w:bCs/>
                <w:color w:val="111827"/>
                <w:sz w:val="20"/>
                <w:szCs w:val="20"/>
              </w:rPr>
              <w:t xml:space="preserve">9,7</w:t>
            </w:r>
            <w:r>
              <w:rPr>
                <w:rFonts w:ascii="Arial" w:cs="Arial" w:eastAsia="Arial" w:hAnsi="Arial"/>
                <w:color w:val="8A919C"/>
                <w:sz w:val="18"/>
                <w:szCs w:val="18"/>
              </w:rPr>
              <w:t xml:space="preserve"> (691e sur 25 273)</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01  Prix et marché immobilier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Commune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appartements (3 dernières années)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894 €/m²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1 434 €/m²</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1 261 €/m²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3 286 €/m²</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4 886</w:t>
            </w:r>
            <w:r>
              <w:rPr>
                <w:rFonts w:ascii="Arial" w:cs="Arial" w:eastAsia="Arial" w:hAnsi="Arial"/>
                <w:color w:val="8A919C"/>
                <w:sz w:val="15"/>
                <w:szCs w:val="15"/>
              </w:rPr>
              <w:br/>
              <w:t xml:space="preserve">sur 5 074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maisons (3 dernières années)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1 039 €/m²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1 222 €/m²</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1 540 €/m²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2 163 €/m²</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24 003</w:t>
            </w:r>
            <w:r>
              <w:rPr>
                <w:rFonts w:ascii="Arial" w:cs="Arial" w:eastAsia="Arial" w:hAnsi="Arial"/>
                <w:color w:val="8A919C"/>
                <w:sz w:val="15"/>
                <w:szCs w:val="15"/>
              </w:rPr>
              <w:br/>
              <w:t xml:space="preserve">sur 27 205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Loyer des appartements (annonces)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24 485</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Loyer des maisons (annonces)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23 391</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Ventes de 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570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209</w:t>
            </w:r>
            <w:r>
              <w:rPr>
                <w:rFonts w:ascii="Arial" w:cs="Arial" w:eastAsia="Arial" w:hAnsi="Arial"/>
                <w:color w:val="8A919C"/>
                <w:sz w:val="15"/>
                <w:szCs w:val="15"/>
              </w:rPr>
              <w:br/>
              <w:t xml:space="preserve">sur 32 487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+19,7 %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Années de revenu pour acheter 70 m² (couple)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1,9 ans</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ans</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ans</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 ans</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4 828</w:t>
            </w:r>
            <w:r>
              <w:rPr>
                <w:rFonts w:ascii="Arial" w:cs="Arial" w:eastAsia="Arial" w:hAnsi="Arial"/>
                <w:color w:val="8A919C"/>
                <w:sz w:val="15"/>
                <w:szCs w:val="15"/>
              </w:rPr>
              <w:br/>
              <w:t xml:space="preserve">sur 5 063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Exposition à l'arrivée de logements de seniors sur le marché (0-100)</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67,6 /100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82,8 /100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51,2 /100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4 164</w:t>
            </w:r>
            <w:r>
              <w:rPr>
                <w:rFonts w:ascii="Arial" w:cs="Arial" w:eastAsia="Arial" w:hAnsi="Arial"/>
                <w:color w:val="8A919C"/>
                <w:sz w:val="15"/>
                <w:szCs w:val="15"/>
              </w:rPr>
              <w:br/>
              <w:t xml:space="preserve">sur 24 932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Prix des appartements (3 dernières années) : 894 €/m² en 2025, moins de la moitié de la moyenne nationale (France : 3 286 €/m² ; département : 1 434 €/m² ; territoires semblables : 1 261 €/m²).</w:t>
            </w:r>
          </w:p>
          <w:p>
            <w:pPr>
              <w:spacing w:after="60" w:line="300"/>
            </w:pPr>
            <w:r>
              <w:rPr>
                <w:rFonts w:ascii="Arial" w:cs="Arial" w:eastAsia="Arial" w:hAnsi="Arial"/>
                <w:color w:val="111827"/>
                <w:sz w:val="20"/>
                <w:szCs w:val="20"/>
              </w:rPr>
              <w:t xml:space="preserve">Années de revenu pour acheter 70 m² (couple) : 1,9 ans en 2025, moins de la moitié de la moyenne nationale (France : 5,1 ans ; département : 2,3 ans ; territoires semblables : 2,4 ans).</w:t>
            </w:r>
          </w:p>
          <w:p>
            <w:pPr>
              <w:spacing w:after="60" w:line="300"/>
            </w:pPr>
            <w:r>
              <w:rPr>
                <w:rFonts w:ascii="Arial" w:cs="Arial" w:eastAsia="Arial" w:hAnsi="Arial"/>
                <w:color w:val="111827"/>
                <w:sz w:val="20"/>
                <w:szCs w:val="20"/>
              </w:rPr>
              <w:t xml:space="preserve">Prix des maisons (3 dernières années) : 1 039 €/m² en 2025, moins de la moitié de la moyenne nationale (France : 2 163 €/m² ; département : 1 222 €/m² ; territoires semblables : 1 540 €/m²).</w:t>
            </w:r>
          </w:p>
          <w:p>
            <w:pPr>
              <w:spacing w:after="60" w:line="300"/>
            </w:pPr>
            <w:r>
              <w:rPr>
                <w:rFonts w:ascii="Arial" w:cs="Arial" w:eastAsia="Arial" w:hAnsi="Arial"/>
                <w:color w:val="111827"/>
                <w:sz w:val="20"/>
                <w:szCs w:val="20"/>
              </w:rPr>
              <w:t xml:space="preserve">Ventes de logements : 570 en 2025, en hausse de 19,7 %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02  Habitants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Commune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25 068</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343</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Densité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336 hab./km²</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653 hab./km²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2 589</w:t>
            </w:r>
            <w:r>
              <w:rPr>
                <w:rFonts w:ascii="Arial" w:cs="Arial" w:eastAsia="Arial" w:hAnsi="Arial"/>
                <w:color w:val="8A919C"/>
                <w:sz w:val="15"/>
                <w:szCs w:val="15"/>
              </w:rPr>
              <w:br/>
              <w:t xml:space="preserve">sur 34 745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moins de 15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15,2 %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21 644</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55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42,7 %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11 450</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Cadres et professions intellectuelles supérieures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22 190</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+0,7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médian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19 130 €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24 730 €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19 520 €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25 920 €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29 673</w:t>
            </w:r>
            <w:r>
              <w:rPr>
                <w:rFonts w:ascii="Arial" w:cs="Arial" w:eastAsia="Arial" w:hAnsi="Arial"/>
                <w:color w:val="8A919C"/>
                <w:sz w:val="15"/>
                <w:szCs w:val="15"/>
              </w:rPr>
              <w:br/>
              <w:t xml:space="preserve">sur 31 213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pauvreté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24,0 %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305</w:t>
            </w:r>
            <w:r>
              <w:rPr>
                <w:rFonts w:ascii="Arial" w:cs="Arial" w:eastAsia="Arial" w:hAnsi="Arial"/>
                <w:color w:val="8A919C"/>
                <w:sz w:val="15"/>
                <w:szCs w:val="15"/>
              </w:rPr>
              <w:br/>
              <w:t xml:space="preserve">sur 4 301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Cadres et professions intellectuelles supérieures : 4,3 % en 2023, moins de la moitié de la moyenne nationale (France : 11,3 % ; département : 6,4 % ; territoires semblables : 5,5 %), en hausse de 0,7 point en cinq ans.</w:t>
            </w:r>
          </w:p>
          <w:p>
            <w:pPr>
              <w:spacing w:after="60" w:line="300"/>
            </w:pPr>
            <w:r>
              <w:rPr>
                <w:rFonts w:ascii="Arial" w:cs="Arial" w:eastAsia="Arial" w:hAnsi="Arial"/>
                <w:color w:val="111827"/>
                <w:sz w:val="20"/>
                <w:szCs w:val="20"/>
              </w:rPr>
              <w:t xml:space="preserve">Taux de pauvreté : 24,0 % en 2021, nettement au-dessus de la moyenne nationale (France : 15,9 % ; département : 15,9 % ; territoires semblables : 24,5 %), stable en cinq ans.</w:t>
            </w:r>
          </w:p>
          <w:p>
            <w:pPr>
              <w:spacing w:after="60" w:line="300"/>
            </w:pPr>
            <w:r>
              <w:rPr>
                <w:rFonts w:ascii="Arial" w:cs="Arial" w:eastAsia="Arial" w:hAnsi="Arial"/>
                <w:color w:val="111827"/>
                <w:sz w:val="20"/>
                <w:szCs w:val="20"/>
              </w:rPr>
              <w:t xml:space="preserve">Niveau de vie médian : 19 130 € en 2021, nettement en dessous de la moyenne nationale (France : 25 920 € ; département : 24 730 € ; territoires semblables : 19 520 €), en hausse de 8,9 %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03  Écoles, commerces et services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Commune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Écoles maternelles et élémentaires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211</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Collèges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190</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Lycées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295</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Indice de position sociale moyen des écoles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88,1</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95,3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106,3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15 279</w:t>
            </w:r>
            <w:r>
              <w:rPr>
                <w:rFonts w:ascii="Arial" w:cs="Arial" w:eastAsia="Arial" w:hAnsi="Arial"/>
                <w:color w:val="8A919C"/>
                <w:sz w:val="15"/>
                <w:szCs w:val="15"/>
              </w:rPr>
              <w:br/>
              <w:t xml:space="preserve">sur 16 046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Indice de position sociale moyen des collèges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92,9</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97,0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106,8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3 115</w:t>
            </w:r>
            <w:r>
              <w:rPr>
                <w:rFonts w:ascii="Arial" w:cs="Arial" w:eastAsia="Arial" w:hAnsi="Arial"/>
                <w:color w:val="8A919C"/>
                <w:sz w:val="15"/>
                <w:szCs w:val="15"/>
              </w:rPr>
              <w:br/>
              <w:t xml:space="preserve">sur 3 662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Crèches et micro-crèches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1 258</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Commerces alimentaires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17,2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1 872</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Supermarchés et hypermarchés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208</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Gares de voyageurs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61</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Bornes de recharge électrique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407</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Équipements sportifs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31,5</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2 267</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Indice de position sociale moyen des écoles : 88,1 en 2023, en dessous de la moyenne nationale (France : 106,3 ; département : 99,3 ; territoires semblables : 95,3).</w:t>
            </w:r>
          </w:p>
          <w:p>
            <w:pPr>
              <w:spacing w:after="60" w:line="300"/>
            </w:pPr>
            <w:r>
              <w:rPr>
                <w:rFonts w:ascii="Arial" w:cs="Arial" w:eastAsia="Arial" w:hAnsi="Arial"/>
                <w:color w:val="111827"/>
                <w:sz w:val="20"/>
                <w:szCs w:val="20"/>
              </w:rPr>
              <w:t xml:space="preserve">Équipements sportifs pour 10 000 habitants : 31,5 en 2025, au-dessus de la moyenne nationale (France : 27,6 ; département : 39,1 ; territoires semblables : 28,7).</w:t>
            </w:r>
          </w:p>
          <w:p>
            <w:pPr>
              <w:spacing w:after="60" w:line="300"/>
            </w:pPr>
            <w:r>
              <w:rPr>
                <w:rFonts w:ascii="Arial" w:cs="Arial" w:eastAsia="Arial" w:hAnsi="Arial"/>
                <w:color w:val="111827"/>
                <w:sz w:val="20"/>
                <w:szCs w:val="20"/>
              </w:rPr>
              <w:t xml:space="preserve">Indice de position sociale moyen des collèges : 92,9 en 2023, en dessous de la moyenne nationale (France : 106,8 ; département : 99,0 ; territoires semblables : 97,0).</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04  Santé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Commune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médecins généralistes (APL)</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29 917</w:t>
            </w:r>
            <w:r>
              <w:rPr>
                <w:rFonts w:ascii="Arial" w:cs="Arial" w:eastAsia="Arial" w:hAnsi="Arial"/>
                <w:color w:val="8A919C"/>
                <w:sz w:val="15"/>
                <w:szCs w:val="15"/>
              </w:rPr>
              <w:br/>
              <w:t xml:space="preserve">sur 34 800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en zone sous-dotée en médecins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100,0 %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spécialistes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1 595</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Dentistes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5,6</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11,1</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2 530</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Pharmacies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4,0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1 649</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Maisons de santé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2 549</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Services d'urgences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81</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Population en zone sous-dotée en médecins : 100,0 % en 2026, plus du double de la moyenne nationale (France : 34,8 % ; département : 88,4 % ; territoires semblables : 0,0 %).</w:t>
            </w:r>
          </w:p>
          <w:p>
            <w:pPr>
              <w:spacing w:after="60" w:line="300"/>
            </w:pPr>
            <w:r>
              <w:rPr>
                <w:rFonts w:ascii="Arial" w:cs="Arial" w:eastAsia="Arial" w:hAnsi="Arial"/>
                <w:color w:val="111827"/>
                <w:sz w:val="20"/>
                <w:szCs w:val="20"/>
              </w:rPr>
              <w:t xml:space="preserve">Médecins spécialistes pour 10 000 habitants : 4,4 en 2025, moins de la moitié de la moyenne nationale (France : 13,2 ; département : 5,4 ; territoires semblables : 22,5).</w:t>
            </w:r>
          </w:p>
          <w:p>
            <w:pPr>
              <w:spacing w:after="60" w:line="300"/>
            </w:pPr>
            <w:r>
              <w:rPr>
                <w:rFonts w:ascii="Arial" w:cs="Arial" w:eastAsia="Arial" w:hAnsi="Arial"/>
                <w:color w:val="111827"/>
                <w:sz w:val="20"/>
                <w:szCs w:val="20"/>
              </w:rPr>
              <w:t xml:space="preserve">Accessibilité aux médecins généralistes (APL) : 1,6 en 2023, moins de la moitié de la moyenne nationale (France : 3,8 ; département : 2,3 ; territoires semblables : 3,7).</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05  Sécurité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Commune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Cambriolages de logement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5,6</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710</w:t>
            </w:r>
            <w:r>
              <w:rPr>
                <w:rFonts w:ascii="Arial" w:cs="Arial" w:eastAsia="Arial" w:hAnsi="Arial"/>
                <w:color w:val="8A919C"/>
                <w:sz w:val="15"/>
                <w:szCs w:val="15"/>
              </w:rPr>
              <w:br/>
              <w:t xml:space="preserve">sur 10 623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+40,4 %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Violences physiques ou sexuelles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8,0</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1 606</w:t>
            </w:r>
            <w:r>
              <w:rPr>
                <w:rFonts w:ascii="Arial" w:cs="Arial" w:eastAsia="Arial" w:hAnsi="Arial"/>
                <w:color w:val="8A919C"/>
                <w:sz w:val="15"/>
                <w:szCs w:val="15"/>
              </w:rPr>
              <w:br/>
              <w:t xml:space="preserve">sur 23 134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Vols liés aux véhicules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9,7</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691</w:t>
            </w:r>
            <w:r>
              <w:rPr>
                <w:rFonts w:ascii="Arial" w:cs="Arial" w:eastAsia="Arial" w:hAnsi="Arial"/>
                <w:color w:val="8A919C"/>
                <w:sz w:val="15"/>
                <w:szCs w:val="15"/>
              </w:rPr>
              <w:br/>
              <w:t xml:space="preserve">sur 25 273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+99,1 %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Dégradations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12,2</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12,8</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633</w:t>
            </w:r>
            <w:r>
              <w:rPr>
                <w:rFonts w:ascii="Arial" w:cs="Arial" w:eastAsia="Arial" w:hAnsi="Arial"/>
                <w:color w:val="8A919C"/>
                <w:sz w:val="15"/>
                <w:szCs w:val="15"/>
              </w:rPr>
              <w:br/>
              <w:t xml:space="preserve">sur 11 013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Cambriolages de logement pour 1 000 habitants : 5,6 en 2024, plus du double de la moyenne nationale (France : 2,8 ; département : 2,9 ; territoires semblables : 3,3), en hausse de 40,4 % en cinq ans.</w:t>
            </w:r>
          </w:p>
          <w:p>
            <w:pPr>
              <w:spacing w:after="60" w:line="300"/>
            </w:pPr>
            <w:r>
              <w:rPr>
                <w:rFonts w:ascii="Arial" w:cs="Arial" w:eastAsia="Arial" w:hAnsi="Arial"/>
                <w:color w:val="111827"/>
                <w:sz w:val="20"/>
                <w:szCs w:val="20"/>
              </w:rPr>
              <w:t xml:space="preserve">Dégradations pour 1 000 habitants : 12,2 en 2024, nettement au-dessus de la moyenne nationale (France : 7,5 ; département : 6,0 ; territoires semblables : 12,8), en baisse de 15,9 % en cinq ans.</w:t>
            </w:r>
          </w:p>
          <w:p>
            <w:pPr>
              <w:spacing w:after="60" w:line="300"/>
            </w:pPr>
            <w:r>
              <w:rPr>
                <w:rFonts w:ascii="Arial" w:cs="Arial" w:eastAsia="Arial" w:hAnsi="Arial"/>
                <w:color w:val="111827"/>
                <w:sz w:val="20"/>
                <w:szCs w:val="20"/>
              </w:rPr>
              <w:t xml:space="preserve">Vols liés aux véhicules pour 1 000 habitants : 9,7 en 2024, nettement au-dessus de la moyenne nationale (France : 6,9 ; département : 2,8 ; territoires semblables : 5,3), en hausse de 99,1 %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06  Risques et logement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Commune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21"/>
                <w:szCs w:val="21"/>
              </w:rPr>
              <w:t xml:space="preserve">Risques recensés</w:t>
            </w:r>
          </w:p>
        </w:tc>
        <w:tc>
          <w:tcPr>
            <w:gridSpan w:val="6"/>
            <w:tcBorders>
              <w:top w:val="none" w:color="FFFFFF" w:sz="0"/>
              <w:left w:val="none" w:color="FFFFFF" w:sz="0"/>
              <w:bottom w:val="single" w:color="EEF0F3" w:sz="4"/>
              <w:right w:val="none" w:color="FFFFFF" w:sz="0"/>
            </w:tcBorders>
            <w:tcMar>
              <w:top w:type="dxa" w:w="60"/>
              <w:left w:type="dxa" w:w="80"/>
              <w:bottom w:type="dxa" w:w="60"/>
              <w:right w:type="dxa" w:w="80"/>
            </w:tcMar>
          </w:tcPr>
          <w:p>
            <w:r>
              <w:rPr>
                <w:rFonts w:ascii="Arial" w:cs="Arial" w:eastAsia="Arial" w:hAnsi="Arial"/>
                <w:color w:val="111827"/>
                <w:sz w:val="19"/>
                <w:szCs w:val="19"/>
              </w:rPr>
              <w:t xml:space="preserve">Feu de forêt, Mouvement de terrain, Phénomène lié à l'atmosphère, Risque industriel, Rupture de barrage, Séisme, Transport de marchandises dangereuses</w:t>
            </w:r>
          </w:p>
        </w:tc>
      </w:tr>
      <w:t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21"/>
                <w:szCs w:val="21"/>
              </w:rPr>
              <w:t xml:space="preserve">Arrêtés de catastrophe naturelle</w:t>
            </w:r>
          </w:p>
        </w:tc>
        <w:tc>
          <w:tcPr>
            <w:gridSpan w:val="6"/>
            <w:tcBorders>
              <w:top w:val="none" w:color="FFFFFF" w:sz="0"/>
              <w:left w:val="none" w:color="FFFFFF" w:sz="0"/>
              <w:bottom w:val="single" w:color="EEF0F3" w:sz="4"/>
              <w:right w:val="none" w:color="FFFFFF" w:sz="0"/>
            </w:tcBorders>
            <w:tcMar>
              <w:top w:type="dxa" w:w="60"/>
              <w:left w:type="dxa" w:w="80"/>
              <w:bottom w:type="dxa" w:w="60"/>
              <w:right w:type="dxa" w:w="80"/>
            </w:tcMar>
          </w:tcPr>
          <w:p>
            <w:r>
              <w:rPr>
                <w:rFonts w:ascii="Arial" w:cs="Arial" w:eastAsia="Arial" w:hAnsi="Arial"/>
                <w:color w:val="111827"/>
                <w:sz w:val="19"/>
                <w:szCs w:val="19"/>
              </w:rPr>
              <w:t xml:space="preserve">Inondations et/ou Coulées de Boue (0 jours) | Inondations et/ou Coulées de Boue (2 jours) | Inondations et/ou Coulées de Boue (3 jours) | Inondations et/ou Coulées de Boue (4 jours) | Inondations et/ou Coulées de Boue (5 jours) | Inondations et/ou Coulées de Boue (9 jours) | Mouvement de Terrain (4 jours) | Sécheresse (1733 jours) | Sécheresse (333 jours) | Sécheresse (609 jours) | Sécheresse (669 jours) | Sécheresse (89 jours) | Sécheresse (90 jours) | Sécheresse (91 jours) | Tempête (4 jours)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 exposée au retrait-gonflement des argiles (fort)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36,8 %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7 992</w:t>
            </w:r>
            <w:r>
              <w:rPr>
                <w:rFonts w:ascii="Arial" w:cs="Arial" w:eastAsia="Arial" w:hAnsi="Arial"/>
                <w:color w:val="8A919C"/>
                <w:sz w:val="15"/>
                <w:szCs w:val="15"/>
              </w:rPr>
              <w:br/>
              <w:t xml:space="preserve">sur 34 517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Passoires thermiques (DPE F-G)</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30,0 %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14 824</w:t>
            </w:r>
            <w:r>
              <w:rPr>
                <w:rFonts w:ascii="Arial" w:cs="Arial" w:eastAsia="Arial" w:hAnsi="Arial"/>
                <w:color w:val="8A919C"/>
                <w:sz w:val="15"/>
                <w:szCs w:val="15"/>
              </w:rPr>
              <w:br/>
              <w:t xml:space="preserve">sur 34 670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vacance des 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15,5 %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Taux de vacance des logements : 15,5 % en 2023, plus du double de la moyenne nationale (France : 7,7 % ; département : 12,3 % ; territoires semblables : 12,2 %), en baisse de 0,9 point en cinq ans.</w:t>
            </w:r>
          </w:p>
          <w:p>
            <w:pPr>
              <w:spacing w:after="60" w:line="300"/>
            </w:pPr>
            <w:r>
              <w:rPr>
                <w:rFonts w:ascii="Arial" w:cs="Arial" w:eastAsia="Arial" w:hAnsi="Arial"/>
                <w:color w:val="111827"/>
                <w:sz w:val="20"/>
                <w:szCs w:val="20"/>
              </w:rPr>
              <w:t xml:space="preserve">Surface exposée au retrait-gonflement des argiles (fort) : 36,8 % en 2026, nettement au-dessus de la moyenne nationale (France : 19,4 % ; département : 42,1 % ; territoires semblables : 15,7 %).</w:t>
            </w:r>
          </w:p>
          <w:p>
            <w:pPr>
              <w:spacing w:after="60" w:line="300"/>
            </w:pPr>
            <w:r>
              <w:rPr>
                <w:rFonts w:ascii="Arial" w:cs="Arial" w:eastAsia="Arial" w:hAnsi="Arial"/>
                <w:color w:val="111827"/>
                <w:sz w:val="20"/>
                <w:szCs w:val="20"/>
              </w:rPr>
              <w:t xml:space="preserve">Passoires thermiques (DPE F-G) : 30,0 % en 2024, nettement au-dessus de la moyenne nationale (France : 20,4 % ; département : 29,5 % ; territoires semblables : 19,9 %).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07  Contrastes à l'intérieur du territoire</w:t>
      </w:r>
    </w:p>
    <w:p>
      <w:pPr>
        <w:spacing w:after="200" w:line="300"/>
      </w:pPr>
      <w:r>
        <w:rPr>
          <w:rFonts w:ascii="Arial" w:cs="Arial" w:eastAsia="Arial" w:hAnsi="Arial"/>
          <w:color w:val="5B6472"/>
          <w:sz w:val="20"/>
          <w:szCs w:val="20"/>
        </w:rPr>
        <w:t xml:space="preserve">Les moyennes cachent des écarts d'un quartier à l'autre. Les données carroyées de l'Insee découpent le territoire en carrés de 200 m ou de 1 km : pour chaque indicateur, la valeur d'ensemble, l'écart entre les habitants des carreaux les plus bas et les plus hauts, et la part des habitants dans les classes nationales les plus basses et les plus hautes (chaque classe regroupe un septième des habitants de France).</w:t>
      </w:r>
    </w:p>
    <w:p>
      <w:pPr>
        <w:spacing w:after="60" w:line="300"/>
      </w:pPr>
      <w:r>
        <w:rPr>
          <w:rFonts w:ascii="Arial" w:cs="Arial" w:eastAsia="Arial" w:hAnsi="Arial"/>
          <w:b/>
          <w:bCs/>
          <w:color w:val="111827"/>
          <w:sz w:val="21"/>
          <w:szCs w:val="21"/>
        </w:rPr>
        <w:t xml:space="preserve">Niveau de vie moyen</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20 302 € par an. Un habitant sur dix vit dans un carreau à moins de 15 904 € par an, un sur dix dans un carreau à plus de 24 543 € par an. 67 % des habitants vivent dans les deux classes nationales les plus basses, 1 % dans les deux plus hautes.</w:t>
      </w:r>
    </w:p>
    <w:p>
      <w:pPr>
        <w:spacing w:after="60" w:line="300"/>
      </w:pPr>
      <w:r>
        <w:rPr>
          <w:rFonts w:ascii="Arial" w:cs="Arial" w:eastAsia="Arial" w:hAnsi="Arial"/>
          <w:b/>
          <w:bCs/>
          <w:color w:val="111827"/>
          <w:sz w:val="21"/>
          <w:szCs w:val="21"/>
        </w:rPr>
        <w:t xml:space="preserve">Part des 65 ans ou plus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28,0 %. Un habitant sur dix vit dans un carreau à moins de 15,1 %, un sur dix dans un carreau à plus de 43,6 %. 6 % des habitants vivent dans les deux classes nationales les plus basses, 56 % dans les deux plus hautes.</w:t>
      </w:r>
    </w:p>
    <w:p>
      <w:pPr>
        <w:spacing w:after="60" w:line="300"/>
      </w:pPr>
      <w:r>
        <w:rPr>
          <w:rFonts w:ascii="Arial" w:cs="Arial" w:eastAsia="Arial" w:hAnsi="Arial"/>
          <w:b/>
          <w:bCs/>
          <w:color w:val="111827"/>
          <w:sz w:val="21"/>
          <w:szCs w:val="21"/>
        </w:rPr>
        <w:t xml:space="preserve">Part des ménages propriétaires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58,2 %. Un habitant sur dix vit dans un carreau à moins de 17,7 %, un sur dix dans un carreau à plus de 92,1 %. 32 % des habitants vivent dans les deux classes nationales les plus basses, 26 % dans les deux plus hautes.</w:t>
      </w:r>
    </w:p>
    <w:p>
      <w:pPr>
        <w:pStyle w:val="Heading1"/>
        <w:pBdr>
          <w:bottom w:val="single" w:color="E6E9EE" w:sz="6" w:space="4"/>
        </w:pBdr>
        <w:spacing w:after="160" w:before="360"/>
      </w:pPr>
      <w:r>
        <w:rPr>
          <w:rFonts w:ascii="Arial" w:cs="Arial" w:eastAsia="Arial" w:hAnsi="Arial"/>
          <w:b/>
          <w:bCs/>
          <w:color w:val="111827"/>
          <w:sz w:val="30"/>
          <w:szCs w:val="30"/>
        </w:rPr>
        <w:t xml:space="preserve">Méthodologie et sources</w:t>
      </w:r>
    </w:p>
    <w:p>
      <w:pPr>
        <w:spacing w:after="80" w:line="300"/>
      </w:pPr>
      <w:r>
        <w:rPr>
          <w:rFonts w:ascii="Arial" w:cs="Arial" w:eastAsia="Arial" w:hAnsi="Arial"/>
          <w:color w:val="5B6472"/>
          <w:sz w:val="18"/>
          <w:szCs w:val="18"/>
        </w:rPr>
        <w:t xml:space="preserve">Valeurs : dernière année disponible de chaque indicateur (indiquée sous la valeur). Semblables : médiane des territoires du même niveau au profil le plus proche (taille, densité, niveau de vie, âge, chômage, logement social). Rang : position du territoire parmi les territoires du même niveau (1 = valeur la plus forte). Évolution sur 5 ans : écart avec la valeur de cinq ans plus tôt, en points pour les pourcentages, en % pour les autres indicateurs. Couleurs : en vert, un écart d'au moins 10 % à la moyenne nationale dans le sens favorable ; en rouge, dans le sens défavorable. Points forts et de vigilance : indicateurs comparables pour lesquels le territoire se situe parmi les 15 % des territoires aux valeurs les plus favorables ou les plus défavorables.</w:t>
      </w:r>
    </w:p>
    <w:p>
      <w:pPr>
        <w:spacing w:after="80" w:line="300"/>
      </w:pPr>
      <w:r>
        <w:rPr>
          <w:rFonts w:ascii="Arial" w:cs="Arial" w:eastAsia="Arial" w:hAnsi="Arial"/>
          <w:color w:val="5B6472"/>
          <w:sz w:val="18"/>
          <w:szCs w:val="18"/>
        </w:rPr>
        <w:t xml:space="preserve">Données carroyées : Insee, Filosofi (carreaux de 200 m) et recensement de la population (carreaux de 1 km). Les petits carreaux sont regroupés ou estimés par l'Insee au titre du secret statistique.</w:t>
      </w:r>
    </w:p>
    <w:p>
      <w:pPr>
        <w:spacing w:after="80" w:line="300"/>
      </w:pPr>
      <w:r>
        <w:rPr>
          <w:rFonts w:ascii="Arial" w:cs="Arial" w:eastAsia="Arial" w:hAnsi="Arial"/>
          <w:color w:val="5B6472"/>
          <w:sz w:val="18"/>
          <w:szCs w:val="18"/>
        </w:rPr>
        <w:t xml:space="preserve">Sources : ADEME ; ANIL ; ARS (DataSanté) ; DEPP ; DREES ; DVF ; DVF, Insee ; Geodashboard, d'après Insee et Ademe ; Géorisques ; Insee ; Min. Intérieur.</w:t>
      </w:r>
    </w:p>
    <w:p>
      <w:pPr>
        <w:spacing w:after="80"/>
      </w:pPr>
      <w:r>
        <w:rPr>
          <w:rFonts w:ascii="Arial" w:cs="Arial" w:eastAsia="Arial" w:hAnsi="Arial"/>
          <w:color w:val="5B6472"/>
          <w:sz w:val="18"/>
          <w:szCs w:val="18"/>
        </w:rPr>
        <w:t xml:space="preserve">Dossier produit par Geodashboard (</w:t>
      </w:r>
      <w:hyperlink w:history="1" r:id="rIdb0g1yx9-agdqzndb3lhxa">
        <w:r>
          <w:rPr>
            <w:rFonts w:ascii="Arial" w:cs="Arial" w:eastAsia="Arial" w:hAnsi="Arial"/>
            <w:color w:val="0052CC"/>
            <w:sz w:val="18"/>
            <w:szCs w:val="18"/>
            <w:u w:val="single"/>
          </w:rPr>
          <w:t xml:space="preserve">geodashboard.fr</w:t>
        </w:r>
      </w:hyperlink>
      <w:r>
        <w:rPr>
          <w:rFonts w:ascii="Arial" w:cs="Arial" w:eastAsia="Arial" w:hAnsi="Arial"/>
          <w:color w:val="5B6472"/>
          <w:sz w:val="18"/>
          <w:szCs w:val="18"/>
        </w:rPr>
        <w:t xml:space="preserve">) à partir des données publiques officielles.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A919C"/>
        <w:sz w:val="16"/>
        <w:szCs w:val="16"/>
      </w:rPr>
      <w:t xml:space="preserve">geodashboard.fr · page </w:t>
    </w:r>
    <w:r>
      <w:rPr>
        <w:rFonts w:ascii="Arial" w:cs="Arial" w:eastAsia="Arial" w:hAnsi="Arial"/>
        <w:color w:val="8A919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19C"/>
        <w:sz w:val="16"/>
        <w:szCs w:val="16"/>
      </w:rPr>
      <w:t xml:space="preserve">Vivre à Vierzon · Vierzon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0g1yx9-agdqzndb3lhxa" Type="http://schemas.openxmlformats.org/officeDocument/2006/relationships/hyperlink" Target="https://geodashboard.fr" TargetMode="External"/><Relationship Id="rId9" Type="http://schemas.openxmlformats.org/officeDocument/2006/relationships/image" Target="media/f9fd6071608667d1c7318a45f24f7d4979c24cdc.png"/><Relationship Id="rId10" Type="http://schemas.openxmlformats.org/officeDocument/2006/relationships/image" Target="media/5c68d9880a8dce3823f0bdf88fa70f0ec5f64bd7.png"/><Relationship Id="rId11" Type="http://schemas.openxmlformats.org/officeDocument/2006/relationships/image" Target="media/1edc4cf77815d7b481c52261787dd5e084a8337f.png"/><Relationship Id="rId12" Type="http://schemas.openxmlformats.org/officeDocument/2006/relationships/image" Target="media/837f9f0a2accdcbf0b2eb2645d61307062c1c3b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Vivre à Vierzon — Vierzon</dc:title>
  <dc:creator>Geodashboard</dc:creator>
  <cp:lastModifiedBy>Un-named</cp:lastModifiedBy>
  <cp:revision>1</cp:revision>
  <dcterms:created xsi:type="dcterms:W3CDTF">2026-11-02T11:23:56.558Z</dcterms:created>
  <dcterms:modified xsi:type="dcterms:W3CDTF">2026-11-02T11:23:56.558Z</dcterms:modified>
</cp:coreProperties>
</file>

<file path=docProps/custom.xml><?xml version="1.0" encoding="utf-8"?>
<Properties xmlns="http://schemas.openxmlformats.org/officeDocument/2006/custom-properties" xmlns:vt="http://schemas.openxmlformats.org/officeDocument/2006/docPropsVTypes"/>
</file>