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111827"/>
          <w:sz w:val="24"/>
          <w:szCs w:val="24"/>
        </w:rPr>
        <w:t xml:space="preserve">  geodashboard</w:t>
      </w:r>
    </w:p>
    <w:p>
      <w:pPr>
        <w:spacing w:after="80" w:line="300"/>
      </w:pPr>
      <w:r>
        <w:rPr>
          <w:rFonts w:ascii="Arial" w:cs="Arial" w:eastAsia="Arial" w:hAnsi="Arial"/>
          <w:b/>
          <w:bCs/>
          <w:color w:val="0052CC"/>
          <w:sz w:val="20"/>
          <w:szCs w:val="20"/>
        </w:rPr>
        <w:t xml:space="preserve">Élus et direction générale</w:t>
      </w:r>
    </w:p>
    <w:p>
      <w:pPr>
        <w:pStyle w:val="Title"/>
        <w:spacing w:after="80"/>
      </w:pPr>
      <w:r>
        <w:rPr>
          <w:rFonts w:ascii="Arial" w:cs="Arial" w:eastAsia="Arial" w:hAnsi="Arial"/>
          <w:b/>
          <w:bCs/>
          <w:color w:val="1A1A2E"/>
          <w:sz w:val="52"/>
          <w:szCs w:val="52"/>
        </w:rPr>
        <w:t xml:space="preserve">Portrait de territoire</w:t>
      </w:r>
    </w:p>
    <w:p>
      <w:pPr>
        <w:spacing w:after="200" w:line="300"/>
      </w:pPr>
      <w:r>
        <w:rPr>
          <w:rFonts w:ascii="Arial" w:cs="Arial" w:eastAsia="Arial" w:hAnsi="Arial"/>
          <w:color w:val="5B6472"/>
          <w:sz w:val="32"/>
          <w:szCs w:val="32"/>
        </w:rPr>
        <w:t xml:space="preserve">Vierzon</w:t>
      </w:r>
    </w:p>
    <w:p>
      <w:pPr>
        <w:spacing w:after="400" w:line="300"/>
      </w:pPr>
      <w:r>
        <w:rPr>
          <w:rFonts w:ascii="Arial" w:cs="Arial" w:eastAsia="Arial" w:hAnsi="Arial"/>
          <w:color w:val="5B6472"/>
          <w:sz w:val="19"/>
          <w:szCs w:val="19"/>
        </w:rPr>
        <w:t xml:space="preserve">Début de mandat · comparé au département (Cher) et à la France · données 2016 à 2026 · édité le 02/11/2026</w:t>
      </w:r>
    </w:p>
    <w:p>
      <w:pPr>
        <w:spacing w:after="200" w:line="300"/>
      </w:pPr>
      <w:r>
        <w:rPr>
          <w:rFonts w:ascii="Arial" w:cs="Arial" w:eastAsia="Arial" w:hAnsi="Arial"/>
          <w:color w:val="111827"/>
          <w:sz w:val="21"/>
          <w:szCs w:val="21"/>
        </w:rPr>
        <w:t xml:space="preserve">Ce portrait réunit les chiffres essentiels de Vierzon pour préparer le mandat : population, économie, revenus, logement, santé, équipements, environnement, sécurité et finances locales. Chaque indicateur est comparé au département et à la France ; les points forts et les points de vigilance sont repérés à partir du rang du territoire parmi les territoires comparables.</w:t>
      </w:r>
    </w:p>
    <w:p>
      <w:pPr>
        <w:spacing w:after="60" w:line="300"/>
      </w:pPr>
      <w:r>
        <w:rPr>
          <w:rFonts w:ascii="Arial" w:cs="Arial" w:eastAsia="Arial" w:hAnsi="Arial"/>
          <w:b/>
          <w:bCs/>
          <w:color w:val="111827"/>
          <w:sz w:val="20"/>
          <w:szCs w:val="20"/>
        </w:rPr>
        <w:t xml:space="preserve">Communes au profil semblable : </w:t>
      </w:r>
      <w:r>
        <w:rPr>
          <w:rFonts w:ascii="Arial" w:cs="Arial" w:eastAsia="Arial" w:hAnsi="Arial"/>
          <w:color w:val="111827"/>
          <w:sz w:val="20"/>
          <w:szCs w:val="20"/>
        </w:rPr>
        <w:t xml:space="preserve">Beaucaire (30), Lourdes (65), Châtellerault (86), Carcassonne (11), Forbach (57), Cambrai (59), Rochefort (17), Cahors (46), Montluçon (03), Gien (45).</w:t>
      </w:r>
    </w:p>
    <w:p>
      <w:pPr>
        <w:spacing w:after="240" w:line="300"/>
      </w:pPr>
      <w:r>
        <w:rPr>
          <w:rFonts w:ascii="Arial" w:cs="Arial" w:eastAsia="Arial" w:hAnsi="Arial"/>
          <w:color w:val="8A919C"/>
          <w:sz w:val="18"/>
          <w:szCs w:val="18"/>
        </w:rPr>
        <w:t xml:space="preserve">Retenues pour leur taille, leur densité, leur niveau de vie, leur part de 55 ans et plus, leur taux de chômage et leur part de locataires HLM ; la colonne « Semblables » donne la médiane de leurs valeurs.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ECFDF3"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Points forts</w:t>
            </w:r>
          </w:p>
          <w:p>
            <w:pPr>
              <w:spacing w:after="100" w:line="300"/>
            </w:pPr>
            <w:r>
              <w:rPr>
                <w:rFonts w:ascii="Arial" w:cs="Arial" w:eastAsia="Arial" w:hAnsi="Arial"/>
                <w:color w:val="5B6472"/>
                <w:sz w:val="20"/>
                <w:szCs w:val="20"/>
              </w:rPr>
              <w:t xml:space="preserve">Aucun indicateur parmi les 15 % les plus favorables.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EF3F2"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Points de vigilance</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Défaillances pour 1 000 établissements : </w:t>
            </w:r>
            <w:r>
              <w:rPr>
                <w:rFonts w:ascii="Arial" w:cs="Arial" w:eastAsia="Arial" w:hAnsi="Arial"/>
                <w:b/>
                <w:bCs/>
                <w:color w:val="111827"/>
                <w:sz w:val="20"/>
                <w:szCs w:val="20"/>
              </w:rPr>
              <w:t xml:space="preserve">25</w:t>
            </w:r>
            <w:r>
              <w:rPr>
                <w:rFonts w:ascii="Arial" w:cs="Arial" w:eastAsia="Arial" w:hAnsi="Arial"/>
                <w:color w:val="8A919C"/>
                <w:sz w:val="18"/>
                <w:szCs w:val="18"/>
              </w:rPr>
              <w:t xml:space="preserve"> (551e sur 12 447)</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Taux de chômage (au sens du recensement) : </w:t>
            </w:r>
            <w:r>
              <w:rPr>
                <w:rFonts w:ascii="Arial" w:cs="Arial" w:eastAsia="Arial" w:hAnsi="Arial"/>
                <w:b/>
                <w:bCs/>
                <w:color w:val="111827"/>
                <w:sz w:val="20"/>
                <w:szCs w:val="20"/>
              </w:rPr>
              <w:t xml:space="preserve">21,4 %</w:t>
            </w:r>
            <w:r>
              <w:rPr>
                <w:rFonts w:ascii="Arial" w:cs="Arial" w:eastAsia="Arial" w:hAnsi="Arial"/>
                <w:color w:val="8A919C"/>
                <w:sz w:val="18"/>
                <w:szCs w:val="18"/>
              </w:rPr>
              <w:t xml:space="preserve"> (140e sur 25 310)</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Niveau de vie médian : </w:t>
            </w:r>
            <w:r>
              <w:rPr>
                <w:rFonts w:ascii="Arial" w:cs="Arial" w:eastAsia="Arial" w:hAnsi="Arial"/>
                <w:b/>
                <w:bCs/>
                <w:color w:val="111827"/>
                <w:sz w:val="20"/>
                <w:szCs w:val="20"/>
              </w:rPr>
              <w:t xml:space="preserve">19 130 €</w:t>
            </w:r>
            <w:r>
              <w:rPr>
                <w:rFonts w:ascii="Arial" w:cs="Arial" w:eastAsia="Arial" w:hAnsi="Arial"/>
                <w:color w:val="8A919C"/>
                <w:sz w:val="18"/>
                <w:szCs w:val="18"/>
              </w:rPr>
              <w:t xml:space="preserve"> (29 673e sur 31 213)</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Taux de pauvreté : </w:t>
            </w:r>
            <w:r>
              <w:rPr>
                <w:rFonts w:ascii="Arial" w:cs="Arial" w:eastAsia="Arial" w:hAnsi="Arial"/>
                <w:b/>
                <w:bCs/>
                <w:color w:val="111827"/>
                <w:sz w:val="20"/>
                <w:szCs w:val="20"/>
              </w:rPr>
              <w:t xml:space="preserve">24,0 %</w:t>
            </w:r>
            <w:r>
              <w:rPr>
                <w:rFonts w:ascii="Arial" w:cs="Arial" w:eastAsia="Arial" w:hAnsi="Arial"/>
                <w:color w:val="8A919C"/>
                <w:sz w:val="18"/>
                <w:szCs w:val="18"/>
              </w:rPr>
              <w:t xml:space="preserve"> (305e sur 4 301)</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Foyers fiscaux imposés : </w:t>
            </w:r>
            <w:r>
              <w:rPr>
                <w:rFonts w:ascii="Arial" w:cs="Arial" w:eastAsia="Arial" w:hAnsi="Arial"/>
                <w:b/>
                <w:bCs/>
                <w:color w:val="111827"/>
                <w:sz w:val="20"/>
                <w:szCs w:val="20"/>
              </w:rPr>
              <w:t xml:space="preserve">34,5 %</w:t>
            </w:r>
            <w:r>
              <w:rPr>
                <w:rFonts w:ascii="Arial" w:cs="Arial" w:eastAsia="Arial" w:hAnsi="Arial"/>
                <w:color w:val="8A919C"/>
                <w:sz w:val="18"/>
                <w:szCs w:val="18"/>
              </w:rPr>
              <w:t xml:space="preserve"> (31 109e sur 33 880)</w:t>
            </w:r>
          </w:p>
          <w:p>
            <w:pPr>
              <w:spacing w:after="60" w:line="300"/>
            </w:pPr>
            <w:r>
              <w:rPr>
                <w:rFonts w:ascii="Arial" w:cs="Arial" w:eastAsia="Arial" w:hAnsi="Arial"/>
                <w:color w:val="111827"/>
                <w:sz w:val="21"/>
                <w:szCs w:val="21"/>
              </w:rPr>
              <w:t xml:space="preserve">•  </w:t>
            </w:r>
            <w:r>
              <w:rPr>
                <w:rFonts w:ascii="Arial" w:cs="Arial" w:eastAsia="Arial" w:hAnsi="Arial"/>
                <w:color w:val="111827"/>
                <w:sz w:val="20"/>
                <w:szCs w:val="20"/>
              </w:rPr>
              <w:t xml:space="preserve">Peu ou pas diplômés : </w:t>
            </w:r>
            <w:r>
              <w:rPr>
                <w:rFonts w:ascii="Arial" w:cs="Arial" w:eastAsia="Arial" w:hAnsi="Arial"/>
                <w:b/>
                <w:bCs/>
                <w:color w:val="111827"/>
                <w:sz w:val="20"/>
                <w:szCs w:val="20"/>
              </w:rPr>
              <w:t xml:space="preserve">38,4 %</w:t>
            </w:r>
            <w:r>
              <w:rPr>
                <w:rFonts w:ascii="Arial" w:cs="Arial" w:eastAsia="Arial" w:hAnsi="Arial"/>
                <w:color w:val="8A919C"/>
                <w:sz w:val="18"/>
                <w:szCs w:val="18"/>
              </w:rPr>
              <w:t xml:space="preserve"> (1 034e sur 33 338)</w:t>
            </w:r>
          </w:p>
        </w:tc>
      </w:tr>
    </w:tbl>
    <w:p>
      <w:pPr>
        <w:spacing w:after="120"/>
      </w:pPr>
    </w:p>
    <w:p>
      <w:pPr>
        <w:pStyle w:val="Heading1"/>
        <w:pBdr>
          <w:bottom w:val="single" w:color="E6E9EE" w:sz="6" w:space="4"/>
        </w:pBdr>
        <w:spacing w:after="160" w:before="360"/>
      </w:pPr>
      <w:r>
        <w:rPr>
          <w:rFonts w:ascii="Arial" w:cs="Arial" w:eastAsia="Arial" w:hAnsi="Arial"/>
          <w:b/>
          <w:bCs/>
          <w:color w:val="111827"/>
          <w:sz w:val="30"/>
          <w:szCs w:val="30"/>
        </w:rPr>
        <w:t xml:space="preserve">01  Population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25 068</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343</w:t>
            </w:r>
            <w:r>
              <w:rPr>
                <w:rFonts w:ascii="Arial" w:cs="Arial" w:eastAsia="Arial" w:hAnsi="Arial"/>
                <w:color w:val="8A919C"/>
                <w:sz w:val="15"/>
                <w:szCs w:val="15"/>
              </w:rPr>
              <w:br/>
              <w:t xml:space="preserve">sur 34 746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Densité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336 hab./km²</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653 hab./km²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2 589</w:t>
            </w:r>
            <w:r>
              <w:rPr>
                <w:rFonts w:ascii="Arial" w:cs="Arial" w:eastAsia="Arial" w:hAnsi="Arial"/>
                <w:color w:val="8A919C"/>
                <w:sz w:val="15"/>
                <w:szCs w:val="15"/>
              </w:rPr>
              <w:br/>
              <w:t xml:space="preserve">sur 34 745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moins de 15 ans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15,2 %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16,9 %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21 644</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Part des 55 ans et plus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42,7 %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41,2 %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11 450</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+2,1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Ménages d'une personne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46,3 %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49,7 %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39,2 %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2 088</w:t>
            </w:r>
            <w:r>
              <w:rPr>
                <w:rFonts w:ascii="Arial" w:cs="Arial" w:eastAsia="Arial" w:hAnsi="Arial"/>
                <w:color w:val="8A919C"/>
                <w:sz w:val="15"/>
                <w:szCs w:val="15"/>
              </w:rPr>
              <w:br/>
              <w:t xml:space="preserve">sur 34 736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Familles monoparentales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11,0 %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8,7 %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9,8 %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7 933</w:t>
            </w:r>
            <w:r>
              <w:rPr>
                <w:rFonts w:ascii="Arial" w:cs="Arial" w:eastAsia="Arial" w:hAnsi="Arial"/>
                <w:color w:val="8A919C"/>
                <w:sz w:val="15"/>
                <w:szCs w:val="15"/>
              </w:rPr>
              <w:br/>
              <w:t xml:space="preserve">sur 34 736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 pt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Part des 55 ans et plus : 42,7 % en 2023, nettement au-dessus de la moyenne nationale (France : 34,0 % ; département : 41,2 % ; territoires semblables : 40,0 %), en hausse de 2,1 points en cinq ans.</w:t>
            </w:r>
          </w:p>
          <w:p>
            <w:pPr>
              <w:spacing w:after="60" w:line="300"/>
            </w:pPr>
            <w:r>
              <w:rPr>
                <w:rFonts w:ascii="Arial" w:cs="Arial" w:eastAsia="Arial" w:hAnsi="Arial"/>
                <w:color w:val="111827"/>
                <w:sz w:val="20"/>
                <w:szCs w:val="20"/>
              </w:rPr>
              <w:t xml:space="preserve">Ménages d'une personne : 46,3 % en 2023, au-dessus de la moyenne nationale (France : 39,2 % ; département : 40,9 % ; territoires semblables : 49,7 %), en hausse de 3,8 points en cinq ans.</w:t>
            </w:r>
          </w:p>
          <w:p>
            <w:pPr>
              <w:spacing w:after="60" w:line="300"/>
            </w:pPr>
            <w:r>
              <w:rPr>
                <w:rFonts w:ascii="Arial" w:cs="Arial" w:eastAsia="Arial" w:hAnsi="Arial"/>
                <w:color w:val="111827"/>
                <w:sz w:val="20"/>
                <w:szCs w:val="20"/>
              </w:rPr>
              <w:t xml:space="preserve">Familles monoparentales : 11,0 % en 2023, au-dessus de la moyenne nationale (France : 9,8 % ; département : 8,7 % ; territoires semblables : 10,7 %), stable en cinq ans.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pour le mandat (à compléter)</w:t>
            </w:r>
          </w:p>
          <w:p>
            <w:pPr>
              <w:spacing w:after="60" w:line="300"/>
            </w:pPr>
            <w:r>
              <w:rPr>
                <w:rFonts w:ascii="Arial" w:cs="Arial" w:eastAsia="Arial" w:hAnsi="Arial"/>
                <w:i/>
                <w:iCs/>
                <w:color w:val="8A919C"/>
                <w:sz w:val="19"/>
                <w:szCs w:val="19"/>
              </w:rPr>
              <w:t xml:space="preserve">Enjeux pour le mandat, priorités, projets en cours ou à engager.</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02  Économie et emploi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Emplois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10 436</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382</w:t>
            </w:r>
            <w:r>
              <w:rPr>
                <w:rFonts w:ascii="Arial" w:cs="Arial" w:eastAsia="Arial" w:hAnsi="Arial"/>
                <w:color w:val="8A919C"/>
                <w:sz w:val="15"/>
                <w:szCs w:val="15"/>
              </w:rPr>
              <w:br/>
              <w:t xml:space="preserve">sur 34 746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+0,2 %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Établissements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1 527</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533</w:t>
            </w:r>
            <w:r>
              <w:rPr>
                <w:rFonts w:ascii="Arial" w:cs="Arial" w:eastAsia="Arial" w:hAnsi="Arial"/>
                <w:color w:val="8A919C"/>
                <w:sz w:val="15"/>
                <w:szCs w:val="15"/>
              </w:rPr>
              <w:br/>
              <w:t xml:space="preserve">sur 34 739</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Créations d'établissements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336</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494</w:t>
            </w:r>
            <w:r>
              <w:rPr>
                <w:rFonts w:ascii="Arial" w:cs="Arial" w:eastAsia="Arial" w:hAnsi="Arial"/>
                <w:color w:val="8A919C"/>
                <w:sz w:val="15"/>
                <w:szCs w:val="15"/>
              </w:rPr>
              <w:br/>
              <w:t xml:space="preserve">sur 32 013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+46,7 %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Défaillances pour 1 000 établissements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25</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551</w:t>
            </w:r>
            <w:r>
              <w:rPr>
                <w:rFonts w:ascii="Arial" w:cs="Arial" w:eastAsia="Arial" w:hAnsi="Arial"/>
                <w:color w:val="8A919C"/>
                <w:sz w:val="15"/>
                <w:szCs w:val="15"/>
              </w:rPr>
              <w:br/>
              <w:t xml:space="preserve">sur 12 447</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+22,8 %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chômage (au sens du recensement)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21,4 %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11,5 %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140</w:t>
            </w:r>
            <w:r>
              <w:rPr>
                <w:rFonts w:ascii="Arial" w:cs="Arial" w:eastAsia="Arial" w:hAnsi="Arial"/>
                <w:color w:val="8A919C"/>
                <w:sz w:val="15"/>
                <w:szCs w:val="15"/>
              </w:rPr>
              <w:br/>
              <w:t xml:space="preserve">sur 25 310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-1,7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Actifs travaillant dans leur commune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68,8 %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63,1 %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227</w:t>
            </w:r>
            <w:r>
              <w:rPr>
                <w:rFonts w:ascii="Arial" w:cs="Arial" w:eastAsia="Arial" w:hAnsi="Arial"/>
                <w:color w:val="8A919C"/>
                <w:sz w:val="15"/>
                <w:szCs w:val="15"/>
              </w:rPr>
              <w:br/>
              <w:t xml:space="preserve">sur 34 737</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+0,4 pt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Défaillances pour 1 000 établissements : 25 en 2023, plus du double de la moyenne nationale (France : 8 ; département : 11 ; territoires semblables : 11), en hausse de 22,8 % en cinq ans.</w:t>
            </w:r>
          </w:p>
          <w:p>
            <w:pPr>
              <w:spacing w:after="60" w:line="300"/>
            </w:pPr>
            <w:r>
              <w:rPr>
                <w:rFonts w:ascii="Arial" w:cs="Arial" w:eastAsia="Arial" w:hAnsi="Arial"/>
                <w:color w:val="111827"/>
                <w:sz w:val="20"/>
                <w:szCs w:val="20"/>
              </w:rPr>
              <w:t xml:space="preserve">Taux de chômage (au sens du recensement) : 21,4 % en 2023, nettement au-dessus de la moyenne nationale (France : 10,9 % ; département : 11,5 % ; territoires semblables : 18,2 %), en baisse de 1,7 point en cinq ans.</w:t>
            </w:r>
          </w:p>
          <w:p>
            <w:pPr>
              <w:spacing w:after="60" w:line="300"/>
            </w:pPr>
            <w:r>
              <w:rPr>
                <w:rFonts w:ascii="Arial" w:cs="Arial" w:eastAsia="Arial" w:hAnsi="Arial"/>
                <w:color w:val="111827"/>
                <w:sz w:val="20"/>
                <w:szCs w:val="20"/>
              </w:rPr>
              <w:t xml:space="preserve">Créations d'établissements : 336 en 2025, en hausse de 46,7 % en cinq ans.</w:t>
            </w:r>
          </w:p>
          <w:p>
            <w:pPr>
              <w:spacing w:after="60" w:line="300"/>
            </w:pPr>
            <w:r>
              <w:rPr>
                <w:rFonts w:ascii="Arial" w:cs="Arial" w:eastAsia="Arial" w:hAnsi="Arial"/>
                <w:color w:val="111827"/>
                <w:sz w:val="20"/>
                <w:szCs w:val="20"/>
              </w:rPr>
              <w:t xml:space="preserve">Établissements : 1 527 en 2023, en hausse de 14,6 % en cinq ans.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pour le mandat (à compléter)</w:t>
            </w:r>
          </w:p>
          <w:p>
            <w:pPr>
              <w:spacing w:after="60" w:line="300"/>
            </w:pPr>
            <w:r>
              <w:rPr>
                <w:rFonts w:ascii="Arial" w:cs="Arial" w:eastAsia="Arial" w:hAnsi="Arial"/>
                <w:i/>
                <w:iCs/>
                <w:color w:val="8A919C"/>
                <w:sz w:val="19"/>
                <w:szCs w:val="19"/>
              </w:rPr>
              <w:t xml:space="preserve">Enjeux pour le mandat, priorités, projets en cours ou à engager.</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03  Revenus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Niveau de vie médian</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19 130 €</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24 730 €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19 520 €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25 920 €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29 673</w:t>
            </w:r>
            <w:r>
              <w:rPr>
                <w:rFonts w:ascii="Arial" w:cs="Arial" w:eastAsia="Arial" w:hAnsi="Arial"/>
                <w:color w:val="8A919C"/>
                <w:sz w:val="15"/>
                <w:szCs w:val="15"/>
              </w:rPr>
              <w:br/>
              <w:t xml:space="preserve">sur 31 213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+8,9 %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pauvreté</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24,0 %</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305</w:t>
            </w:r>
            <w:r>
              <w:rPr>
                <w:rFonts w:ascii="Arial" w:cs="Arial" w:eastAsia="Arial" w:hAnsi="Arial"/>
                <w:color w:val="8A919C"/>
                <w:sz w:val="15"/>
                <w:szCs w:val="15"/>
              </w:rPr>
              <w:br/>
              <w:t xml:space="preserve">sur 4 301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Écart entre hauts et bas revenus (rapport D9/D1)</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3,0</w:t>
            </w:r>
            <w:r>
              <w:rPr>
                <w:rFonts w:ascii="Arial" w:cs="Arial" w:eastAsia="Arial" w:hAnsi="Arial"/>
                <w:color w:val="8A919C"/>
                <w:sz w:val="15"/>
                <w:szCs w:val="15"/>
              </w:rPr>
              <w:br/>
              <w:t xml:space="preserve">2021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Foyers fiscaux imposés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34,5 %</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45,1 %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48,0 %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31 109</w:t>
            </w:r>
            <w:r>
              <w:rPr>
                <w:rFonts w:ascii="Arial" w:cs="Arial" w:eastAsia="Arial" w:hAnsi="Arial"/>
                <w:color w:val="8A919C"/>
                <w:sz w:val="15"/>
                <w:szCs w:val="15"/>
              </w:rPr>
              <w:br/>
              <w:t xml:space="preserve">sur 33 880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-4,4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Diplômés du supérieur (15 ans et plus sortis de l'école)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17,9 %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24,7 %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22,6 %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34,3 %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29 498</w:t>
            </w:r>
            <w:r>
              <w:rPr>
                <w:rFonts w:ascii="Arial" w:cs="Arial" w:eastAsia="Arial" w:hAnsi="Arial"/>
                <w:color w:val="8A919C"/>
                <w:sz w:val="15"/>
                <w:szCs w:val="15"/>
              </w:rPr>
              <w:br/>
              <w:t xml:space="preserve">sur 33 338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Peu ou pas diplômés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38,4 %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27,8 %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32,9 %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24,2 %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1 034</w:t>
            </w:r>
            <w:r>
              <w:rPr>
                <w:rFonts w:ascii="Arial" w:cs="Arial" w:eastAsia="Arial" w:hAnsi="Arial"/>
                <w:color w:val="8A919C"/>
                <w:sz w:val="15"/>
                <w:szCs w:val="15"/>
              </w:rPr>
              <w:br/>
              <w:t xml:space="preserve">sur 33 338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Cadres et professions intellectuelles supérieures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4,3 %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6,4 %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5,5 %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11,3 %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22 190</w:t>
            </w:r>
            <w:r>
              <w:rPr>
                <w:rFonts w:ascii="Arial" w:cs="Arial" w:eastAsia="Arial" w:hAnsi="Arial"/>
                <w:color w:val="8A919C"/>
                <w:sz w:val="15"/>
                <w:szCs w:val="15"/>
              </w:rPr>
              <w:br/>
              <w:t xml:space="preserve">sur 34 736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+0,7 pt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Cadres et professions intellectuelles supérieures : 4,3 % en 2023, moins de la moitié de la moyenne nationale (France : 11,3 % ; département : 6,4 % ; territoires semblables : 5,5 %), en hausse de 0,7 point en cinq ans.</w:t>
            </w:r>
          </w:p>
          <w:p>
            <w:pPr>
              <w:spacing w:after="60" w:line="300"/>
            </w:pPr>
            <w:r>
              <w:rPr>
                <w:rFonts w:ascii="Arial" w:cs="Arial" w:eastAsia="Arial" w:hAnsi="Arial"/>
                <w:color w:val="111827"/>
                <w:sz w:val="20"/>
                <w:szCs w:val="20"/>
              </w:rPr>
              <w:t xml:space="preserve">Peu ou pas diplômés : 38,4 % en 2023, nettement au-dessus de la moyenne nationale (France : 24,2 % ; département : 27,8 % ; territoires semblables : 32,9 %).</w:t>
            </w:r>
          </w:p>
          <w:p>
            <w:pPr>
              <w:spacing w:after="60" w:line="300"/>
            </w:pPr>
            <w:r>
              <w:rPr>
                <w:rFonts w:ascii="Arial" w:cs="Arial" w:eastAsia="Arial" w:hAnsi="Arial"/>
                <w:color w:val="111827"/>
                <w:sz w:val="20"/>
                <w:szCs w:val="20"/>
              </w:rPr>
              <w:t xml:space="preserve">Taux de pauvreté : 24,0 % en 2021, nettement au-dessus de la moyenne nationale (France : 15,9 % ; département : 15,9 % ; territoires semblables : 24,5 %), stable en cinq ans.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pour le mandat (à compléter)</w:t>
            </w:r>
          </w:p>
          <w:p>
            <w:pPr>
              <w:spacing w:after="60" w:line="300"/>
            </w:pPr>
            <w:r>
              <w:rPr>
                <w:rFonts w:ascii="Arial" w:cs="Arial" w:eastAsia="Arial" w:hAnsi="Arial"/>
                <w:i/>
                <w:iCs/>
                <w:color w:val="8A919C"/>
                <w:sz w:val="19"/>
                <w:szCs w:val="19"/>
              </w:rPr>
              <w:t xml:space="preserve">Enjeux pour le mandat, priorités, projets en cours ou à engager.</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04  Logement et foncier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Logements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15 066</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276</w:t>
            </w:r>
            <w:r>
              <w:rPr>
                <w:rFonts w:ascii="Arial" w:cs="Arial" w:eastAsia="Arial" w:hAnsi="Arial"/>
                <w:color w:val="8A919C"/>
                <w:sz w:val="15"/>
                <w:szCs w:val="15"/>
              </w:rPr>
              <w:br/>
              <w:t xml:space="preserve">sur 34 746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+0,7 %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 vacance des logements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15,5 %</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12,3 %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12,2 %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7,7 %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8A919C"/>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Locataires HLM</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15,7 %</w:t>
            </w:r>
            <w:r>
              <w:rPr>
                <w:rFonts w:ascii="Arial" w:cs="Arial" w:eastAsia="Arial" w:hAnsi="Arial"/>
                <w:color w:val="8A919C"/>
                <w:sz w:val="15"/>
                <w:szCs w:val="15"/>
              </w:rPr>
              <w:br/>
              <w:t xml:space="preserve">2022</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11,7 %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18,3 %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14,5 %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1 814</w:t>
            </w:r>
            <w:r>
              <w:rPr>
                <w:rFonts w:ascii="Arial" w:cs="Arial" w:eastAsia="Arial" w:hAnsi="Arial"/>
                <w:color w:val="8A919C"/>
                <w:sz w:val="15"/>
                <w:szCs w:val="15"/>
              </w:rPr>
              <w:br/>
              <w:t xml:space="preserve">sur 17 784</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Passoires thermiques (DPE F-G)</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30,0 %</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29,5 %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20,4 %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14 824</w:t>
            </w:r>
            <w:r>
              <w:rPr>
                <w:rFonts w:ascii="Arial" w:cs="Arial" w:eastAsia="Arial" w:hAnsi="Arial"/>
                <w:color w:val="8A919C"/>
                <w:sz w:val="15"/>
                <w:szCs w:val="15"/>
              </w:rPr>
              <w:br/>
              <w:t xml:space="preserve">sur 34 670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Prix des appartements (3 dernières années)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894 €/m²</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1 434 €/m²</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1 261 €/m²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3 286 €/m²</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4 886</w:t>
            </w:r>
            <w:r>
              <w:rPr>
                <w:rFonts w:ascii="Arial" w:cs="Arial" w:eastAsia="Arial" w:hAnsi="Arial"/>
                <w:color w:val="8A919C"/>
                <w:sz w:val="15"/>
                <w:szCs w:val="15"/>
              </w:rPr>
              <w:br/>
              <w:t xml:space="preserve">sur 5 074</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Prix des maisons (3 dernières années)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1 039 €/m²</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1 222 €/m²</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1 540 €/m²</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2 163 €/m²</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24 003</w:t>
            </w:r>
            <w:r>
              <w:rPr>
                <w:rFonts w:ascii="Arial" w:cs="Arial" w:eastAsia="Arial" w:hAnsi="Arial"/>
                <w:color w:val="8A919C"/>
                <w:sz w:val="15"/>
                <w:szCs w:val="15"/>
              </w:rPr>
              <w:br/>
              <w:t xml:space="preserve">sur 27 205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Exposition au renouvellement du parc (0-100)</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67,6 /100</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82,8 /100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51,2 /100</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4 164</w:t>
            </w:r>
            <w:r>
              <w:rPr>
                <w:rFonts w:ascii="Arial" w:cs="Arial" w:eastAsia="Arial" w:hAnsi="Arial"/>
                <w:color w:val="8A919C"/>
                <w:sz w:val="15"/>
                <w:szCs w:val="15"/>
              </w:rPr>
              <w:br/>
              <w:t xml:space="preserve">sur 24 932</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Taux de vacance des logements : 15,5 % en 2023, plus du double de la moyenne nationale (France : 7,7 % ; département : 12,3 % ; territoires semblables : 12,2 %), en baisse de 0,9 point en cinq ans.</w:t>
            </w:r>
          </w:p>
          <w:p>
            <w:pPr>
              <w:spacing w:after="60" w:line="300"/>
            </w:pPr>
            <w:r>
              <w:rPr>
                <w:rFonts w:ascii="Arial" w:cs="Arial" w:eastAsia="Arial" w:hAnsi="Arial"/>
                <w:color w:val="111827"/>
                <w:sz w:val="20"/>
                <w:szCs w:val="20"/>
              </w:rPr>
              <w:t xml:space="preserve">Prix des appartements (3 dernières années) : 894 €/m² en 2025, moins de la moitié de la moyenne nationale (France : 3 286 €/m² ; département : 1 434 €/m² ; territoires semblables : 1 261 €/m²).</w:t>
            </w:r>
          </w:p>
          <w:p>
            <w:pPr>
              <w:spacing w:after="60" w:line="300"/>
            </w:pPr>
            <w:r>
              <w:rPr>
                <w:rFonts w:ascii="Arial" w:cs="Arial" w:eastAsia="Arial" w:hAnsi="Arial"/>
                <w:color w:val="111827"/>
                <w:sz w:val="20"/>
                <w:szCs w:val="20"/>
              </w:rPr>
              <w:t xml:space="preserve">Prix des maisons (3 dernières années) : 1 039 €/m² en 2025, moins de la moitié de la moyenne nationale (France : 2 163 €/m² ; département : 1 222 €/m² ; territoires semblables : 1 540 €/m²).</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pour le mandat (à compléter)</w:t>
            </w:r>
          </w:p>
          <w:p>
            <w:pPr>
              <w:spacing w:after="60" w:line="300"/>
            </w:pPr>
            <w:r>
              <w:rPr>
                <w:rFonts w:ascii="Arial" w:cs="Arial" w:eastAsia="Arial" w:hAnsi="Arial"/>
                <w:i/>
                <w:iCs/>
                <w:color w:val="8A919C"/>
                <w:sz w:val="19"/>
                <w:szCs w:val="19"/>
              </w:rPr>
              <w:t xml:space="preserve">Enjeux pour le mandat, priorités, projets en cours ou à engager.</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05  Santé et équipements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Accessibilité aux médecins généralistes (APL)</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1,6</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3,7</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29 917</w:t>
            </w:r>
            <w:r>
              <w:rPr>
                <w:rFonts w:ascii="Arial" w:cs="Arial" w:eastAsia="Arial" w:hAnsi="Arial"/>
                <w:color w:val="8A919C"/>
                <w:sz w:val="15"/>
                <w:szCs w:val="15"/>
              </w:rPr>
              <w:br/>
              <w:t xml:space="preserve">sur 34 800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Population en zone d'intervention prioritaire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100,0 %</w:t>
            </w:r>
            <w:r>
              <w:rPr>
                <w:rFonts w:ascii="Arial" w:cs="Arial" w:eastAsia="Arial" w:hAnsi="Arial"/>
                <w:color w:val="8A919C"/>
                <w:sz w:val="15"/>
                <w:szCs w:val="15"/>
              </w:rPr>
              <w:br/>
              <w:t xml:space="preserve">2026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88,4 %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0,0 %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34,8 %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w:t>
            </w:r>
            <w:r>
              <w:rPr>
                <w:rFonts w:ascii="Arial" w:cs="Arial" w:eastAsia="Arial" w:hAnsi="Arial"/>
                <w:color w:val="8A919C"/>
                <w:sz w:val="15"/>
                <w:szCs w:val="15"/>
              </w:rPr>
              <w:br/>
              <w:t xml:space="preserve">sur 34 740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Médecins spécialistes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4,4</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22,5</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13,2</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1 595</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Commerces alimentaires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17,2</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23,3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15,7</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1 872</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Équipements sportifs pour 10 000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31,5</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39,1</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28,7</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27,6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2 267</w:t>
            </w:r>
            <w:r>
              <w:rPr>
                <w:rFonts w:ascii="Arial" w:cs="Arial" w:eastAsia="Arial" w:hAnsi="Arial"/>
                <w:color w:val="8A919C"/>
                <w:sz w:val="15"/>
                <w:szCs w:val="15"/>
              </w:rPr>
              <w:br/>
              <w:t xml:space="preserve">sur 5 466</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Écoles maternelles et élémentaires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20</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211</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France services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125</w:t>
            </w:r>
            <w:r>
              <w:rPr>
                <w:rFonts w:ascii="Arial" w:cs="Arial" w:eastAsia="Arial" w:hAnsi="Arial"/>
                <w:color w:val="8A919C"/>
                <w:sz w:val="15"/>
                <w:szCs w:val="15"/>
              </w:rPr>
              <w:br/>
              <w:t xml:space="preserve">sur 36 573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Population en zone d'intervention prioritaire : 100,0 % en 2026, plus du double de la moyenne nationale (France : 34,8 % ; département : 88,4 % ; territoires semblables : 0,0 %).</w:t>
            </w:r>
          </w:p>
          <w:p>
            <w:pPr>
              <w:spacing w:after="60" w:line="300"/>
            </w:pPr>
            <w:r>
              <w:rPr>
                <w:rFonts w:ascii="Arial" w:cs="Arial" w:eastAsia="Arial" w:hAnsi="Arial"/>
                <w:color w:val="111827"/>
                <w:sz w:val="20"/>
                <w:szCs w:val="20"/>
              </w:rPr>
              <w:t xml:space="preserve">Médecins spécialistes pour 10 000 habitants : 4,4 en 2025, moins de la moitié de la moyenne nationale (France : 13,2 ; département : 5,4 ; territoires semblables : 22,5).</w:t>
            </w:r>
          </w:p>
          <w:p>
            <w:pPr>
              <w:spacing w:after="60" w:line="300"/>
            </w:pPr>
            <w:r>
              <w:rPr>
                <w:rFonts w:ascii="Arial" w:cs="Arial" w:eastAsia="Arial" w:hAnsi="Arial"/>
                <w:color w:val="111827"/>
                <w:sz w:val="20"/>
                <w:szCs w:val="20"/>
              </w:rPr>
              <w:t xml:space="preserve">Accessibilité aux médecins généralistes (APL) : 1,6 en 2023, moins de la moitié de la moyenne nationale (France : 3,8 ; département : 2,3 ; territoires semblables : 3,7).</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pour le mandat (à compléter)</w:t>
            </w:r>
          </w:p>
          <w:p>
            <w:pPr>
              <w:spacing w:after="60" w:line="300"/>
            </w:pPr>
            <w:r>
              <w:rPr>
                <w:rFonts w:ascii="Arial" w:cs="Arial" w:eastAsia="Arial" w:hAnsi="Arial"/>
                <w:i/>
                <w:iCs/>
                <w:color w:val="8A919C"/>
                <w:sz w:val="19"/>
                <w:szCs w:val="19"/>
              </w:rPr>
              <w:t xml:space="preserve">Enjeux pour le mandat, priorités, projets en cours ou à engager.</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06  Environnement et risques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Émissions de gaz à effet de serre par habitant (t CO2e)</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067647"/>
                <w:sz w:val="19"/>
                <w:szCs w:val="19"/>
              </w:rPr>
              <w:t xml:space="preserve">5,7 t</w:t>
            </w:r>
            <w:r>
              <w:rPr>
                <w:rFonts w:ascii="Arial" w:cs="Arial" w:eastAsia="Arial" w:hAnsi="Arial"/>
                <w:color w:val="8A919C"/>
                <w:sz w:val="15"/>
                <w:szCs w:val="15"/>
              </w:rPr>
              <w:br/>
              <w:t xml:space="preserve">2016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10,2 t</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5,1 t</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7,2 t</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25 511</w:t>
            </w:r>
            <w:r>
              <w:rPr>
                <w:rFonts w:ascii="Arial" w:cs="Arial" w:eastAsia="Arial" w:hAnsi="Arial"/>
                <w:color w:val="8A919C"/>
                <w:sz w:val="15"/>
                <w:szCs w:val="15"/>
              </w:rPr>
              <w:br/>
              <w:t xml:space="preserve">sur 35 221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Surfaces artificialisées (flux annuel, m²)</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43 158</w:t>
            </w:r>
            <w:r>
              <w:rPr>
                <w:rFonts w:ascii="Arial" w:cs="Arial" w:eastAsia="Arial" w:hAnsi="Arial"/>
                <w:color w:val="8A919C"/>
                <w:sz w:val="15"/>
                <w:szCs w:val="15"/>
              </w:rPr>
              <w:br/>
              <w:t xml:space="preserve">2023</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728</w:t>
            </w:r>
            <w:r>
              <w:rPr>
                <w:rFonts w:ascii="Arial" w:cs="Arial" w:eastAsia="Arial" w:hAnsi="Arial"/>
                <w:color w:val="8A919C"/>
                <w:sz w:val="15"/>
                <w:szCs w:val="15"/>
              </w:rPr>
              <w:br/>
              <w:t xml:space="preserve">sur 34 793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-34,1 %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Voitures rechargeables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1,2 %</w:t>
            </w:r>
            <w:r>
              <w:rPr>
                <w:rFonts w:ascii="Arial" w:cs="Arial" w:eastAsia="Arial" w:hAnsi="Arial"/>
                <w:color w:val="8A919C"/>
                <w:sz w:val="15"/>
                <w:szCs w:val="15"/>
              </w:rPr>
              <w:br/>
              <w:t xml:space="preserve">2025</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3,2 %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26 269</w:t>
            </w:r>
            <w:r>
              <w:rPr>
                <w:rFonts w:ascii="Arial" w:cs="Arial" w:eastAsia="Arial" w:hAnsi="Arial"/>
                <w:color w:val="8A919C"/>
                <w:sz w:val="15"/>
                <w:szCs w:val="15"/>
              </w:rPr>
              <w:br/>
              <w:t xml:space="preserve">sur 34 040</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+0,9 pt</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Types de risques naturels et technologiques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7</w:t>
            </w:r>
            <w:r>
              <w:rPr>
                <w:rFonts w:ascii="Arial" w:cs="Arial" w:eastAsia="Arial" w:hAnsi="Arial"/>
                <w:color w:val="8A919C"/>
                <w:sz w:val="15"/>
                <w:szCs w:val="15"/>
              </w:rPr>
              <w:br/>
              <w:t xml:space="preserve">2026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8 066</w:t>
            </w:r>
            <w:r>
              <w:rPr>
                <w:rFonts w:ascii="Arial" w:cs="Arial" w:eastAsia="Arial" w:hAnsi="Arial"/>
                <w:color w:val="8A919C"/>
                <w:sz w:val="15"/>
                <w:szCs w:val="15"/>
              </w:rPr>
              <w:br/>
              <w:t xml:space="preserve">sur 32 391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Surface exposée au retrait-gonflement des argiles (fort)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36,8 %</w:t>
            </w:r>
            <w:r>
              <w:rPr>
                <w:rFonts w:ascii="Arial" w:cs="Arial" w:eastAsia="Arial" w:hAnsi="Arial"/>
                <w:color w:val="8A919C"/>
                <w:sz w:val="15"/>
                <w:szCs w:val="15"/>
              </w:rPr>
              <w:br/>
              <w:t xml:space="preserve">2026</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42,1 %</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15,7 %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19,4 %</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7 992</w:t>
            </w:r>
            <w:r>
              <w:rPr>
                <w:rFonts w:ascii="Arial" w:cs="Arial" w:eastAsia="Arial" w:hAnsi="Arial"/>
                <w:color w:val="8A919C"/>
                <w:sz w:val="15"/>
                <w:szCs w:val="15"/>
              </w:rPr>
              <w:br/>
              <w:t xml:space="preserve">sur 34 517</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Surface exposée au retrait-gonflement des argiles (fort) : 36,8 % en 2026, nettement au-dessus de la moyenne nationale (France : 19,4 % ; département : 42,1 % ; territoires semblables : 15,7 %).</w:t>
            </w:r>
          </w:p>
          <w:p>
            <w:pPr>
              <w:spacing w:after="60" w:line="300"/>
            </w:pPr>
            <w:r>
              <w:rPr>
                <w:rFonts w:ascii="Arial" w:cs="Arial" w:eastAsia="Arial" w:hAnsi="Arial"/>
                <w:color w:val="111827"/>
                <w:sz w:val="20"/>
                <w:szCs w:val="20"/>
              </w:rPr>
              <w:t xml:space="preserve">Voitures rechargeables : 1,2 % en 2025, moins de la moitié de la moyenne nationale (France : 3,2 % ; département : 1,9 % ; territoires semblables : 1,9 %), en hausse de 0,9 point en cinq ans.</w:t>
            </w:r>
          </w:p>
          <w:p>
            <w:pPr>
              <w:spacing w:after="60" w:line="300"/>
            </w:pPr>
            <w:r>
              <w:rPr>
                <w:rFonts w:ascii="Arial" w:cs="Arial" w:eastAsia="Arial" w:hAnsi="Arial"/>
                <w:color w:val="111827"/>
                <w:sz w:val="20"/>
                <w:szCs w:val="20"/>
              </w:rPr>
              <w:t xml:space="preserve">Émissions de gaz à effet de serre par habitant (t CO2e) : 5,7 t en 2016, nettement en dessous de la moyenne nationale (France : 7,2 t ; département : 10,2 t ; territoires semblables : 5,1 t).</w:t>
            </w:r>
          </w:p>
          <w:p>
            <w:pPr>
              <w:spacing w:after="60" w:line="300"/>
            </w:pPr>
            <w:r>
              <w:rPr>
                <w:rFonts w:ascii="Arial" w:cs="Arial" w:eastAsia="Arial" w:hAnsi="Arial"/>
                <w:color w:val="111827"/>
                <w:sz w:val="20"/>
                <w:szCs w:val="20"/>
              </w:rPr>
              <w:t xml:space="preserve">Surfaces artificialisées (flux annuel, m²) : 43 158 en 2023, en baisse de 34,1 % en cinq ans.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pour le mandat (à compléter)</w:t>
            </w:r>
          </w:p>
          <w:p>
            <w:pPr>
              <w:spacing w:after="60" w:line="300"/>
            </w:pPr>
            <w:r>
              <w:rPr>
                <w:rFonts w:ascii="Arial" w:cs="Arial" w:eastAsia="Arial" w:hAnsi="Arial"/>
                <w:i/>
                <w:iCs/>
                <w:color w:val="8A919C"/>
                <w:sz w:val="19"/>
                <w:szCs w:val="19"/>
              </w:rPr>
              <w:t xml:space="preserve">Enjeux pour le mandat, priorités, projets en cours ou à engager.</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07  Sécurité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Cambriolages de logement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5,6</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2,9</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2,8</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710</w:t>
            </w:r>
            <w:r>
              <w:rPr>
                <w:rFonts w:ascii="Arial" w:cs="Arial" w:eastAsia="Arial" w:hAnsi="Arial"/>
                <w:color w:val="8A919C"/>
                <w:sz w:val="15"/>
                <w:szCs w:val="15"/>
              </w:rPr>
              <w:br/>
              <w:t xml:space="preserve">sur 10 623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+40,4 %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Victimes de violences physiques ou sexuelles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8,0</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11,6</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7,1</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1 606</w:t>
            </w:r>
            <w:r>
              <w:rPr>
                <w:rFonts w:ascii="Arial" w:cs="Arial" w:eastAsia="Arial" w:hAnsi="Arial"/>
                <w:color w:val="8A919C"/>
                <w:sz w:val="15"/>
                <w:szCs w:val="15"/>
              </w:rPr>
              <w:br/>
              <w:t xml:space="preserve">sur 23 134</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-4,6 %</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Destructions et dégradations pour 1 000 habitants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B42318"/>
                <w:sz w:val="19"/>
                <w:szCs w:val="19"/>
              </w:rPr>
              <w:t xml:space="preserve">12,2</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6,0</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12,8</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7,5</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633</w:t>
            </w:r>
            <w:r>
              <w:rPr>
                <w:rFonts w:ascii="Arial" w:cs="Arial" w:eastAsia="Arial" w:hAnsi="Arial"/>
                <w:color w:val="8A919C"/>
                <w:sz w:val="15"/>
                <w:szCs w:val="15"/>
              </w:rPr>
              <w:br/>
              <w:t xml:space="preserve">sur 11 013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-15,9 %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3F6FA"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Lecture</w:t>
            </w:r>
          </w:p>
          <w:p>
            <w:pPr>
              <w:spacing w:after="60" w:line="300"/>
            </w:pPr>
            <w:r>
              <w:rPr>
                <w:rFonts w:ascii="Arial" w:cs="Arial" w:eastAsia="Arial" w:hAnsi="Arial"/>
                <w:color w:val="111827"/>
                <w:sz w:val="20"/>
                <w:szCs w:val="20"/>
              </w:rPr>
              <w:t xml:space="preserve">Cambriolages de logement pour 1 000 habitants : 5,6 en 2024, plus du double de la moyenne nationale (France : 2,8 ; département : 2,9 ; territoires semblables : 3,3), en hausse de 40,4 % en cinq ans.</w:t>
            </w:r>
          </w:p>
          <w:p>
            <w:pPr>
              <w:spacing w:after="60" w:line="300"/>
            </w:pPr>
            <w:r>
              <w:rPr>
                <w:rFonts w:ascii="Arial" w:cs="Arial" w:eastAsia="Arial" w:hAnsi="Arial"/>
                <w:color w:val="111827"/>
                <w:sz w:val="20"/>
                <w:szCs w:val="20"/>
              </w:rPr>
              <w:t xml:space="preserve">Destructions et dégradations pour 1 000 habitants : 12,2 en 2024, nettement au-dessus de la moyenne nationale (France : 7,5 ; département : 6,0 ; territoires semblables : 12,8), en baisse de 15,9 % en cinq ans.</w:t>
            </w:r>
          </w:p>
          <w:p>
            <w:pPr>
              <w:spacing w:after="60" w:line="300"/>
            </w:pPr>
            <w:r>
              <w:rPr>
                <w:rFonts w:ascii="Arial" w:cs="Arial" w:eastAsia="Arial" w:hAnsi="Arial"/>
                <w:color w:val="111827"/>
                <w:sz w:val="20"/>
                <w:szCs w:val="20"/>
              </w:rPr>
              <w:t xml:space="preserve">Victimes de violences physiques ou sexuelles pour 1 000 habitants : 8,0 en 2024, au-dessus de la moyenne nationale (France : 7,1 ; département : 4,0 ; territoires semblables : 11,6), en baisse de 4,6 % en cinq ans.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pour le mandat (à compléter)</w:t>
            </w:r>
          </w:p>
          <w:p>
            <w:pPr>
              <w:spacing w:after="60" w:line="300"/>
            </w:pPr>
            <w:r>
              <w:rPr>
                <w:rFonts w:ascii="Arial" w:cs="Arial" w:eastAsia="Arial" w:hAnsi="Arial"/>
                <w:i/>
                <w:iCs/>
                <w:color w:val="8A919C"/>
                <w:sz w:val="19"/>
                <w:szCs w:val="19"/>
              </w:rPr>
              <w:t xml:space="preserve">Enjeux pour le mandat, priorités, projets en cours ou à engager.</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08  Finances locales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88"/>
        <w:gridCol w:w="1350"/>
        <w:gridCol w:w="1150"/>
        <w:gridCol w:w="1150"/>
        <w:gridCol w:w="1050"/>
        <w:gridCol w:w="1100"/>
        <w:gridCol w:w="1100"/>
      </w:tblGrid>
      <w:tr>
        <w:trPr>
          <w:tblHeader/>
        </w:trPr>
        <w:tc>
          <w:tcPr>
            <w:tcW w:type="dxa" w:w="2788"/>
            <w:tcBorders>
              <w:top w:val="none" w:color="FFFFFF" w:sz="0"/>
              <w:left w:val="none" w:color="FFFFFF" w:sz="0"/>
              <w:bottom w:val="single" w:color="DDE2EA" w:sz="8"/>
              <w:right w:val="none" w:color="FFFFFF" w:sz="0"/>
            </w:tcBorders>
            <w:tcMar>
              <w:top w:type="dxa" w:w="60"/>
              <w:left w:type="dxa" w:w="80"/>
              <w:bottom w:type="dxa" w:w="60"/>
              <w:right w:type="dxa" w:w="80"/>
            </w:tcMar>
          </w:tcPr>
          <w:p>
            <w:pPr>
              <w:jc w:val="left"/>
            </w:pPr>
            <w:r>
              <w:rPr>
                <w:rFonts w:ascii="Arial" w:cs="Arial" w:eastAsia="Arial" w:hAnsi="Arial"/>
                <w:b/>
                <w:bCs/>
                <w:color w:val="8A919C"/>
                <w:sz w:val="17"/>
                <w:szCs w:val="17"/>
              </w:rPr>
              <w:t xml:space="preserve">Indicateur</w:t>
            </w:r>
          </w:p>
        </w:tc>
        <w:tc>
          <w:tcPr>
            <w:tcW w:type="dxa" w:w="13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Territoire</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Département</w:t>
            </w:r>
          </w:p>
        </w:tc>
        <w:tc>
          <w:tcPr>
            <w:tcW w:type="dxa" w:w="11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Semblables</w:t>
            </w:r>
          </w:p>
        </w:tc>
        <w:tc>
          <w:tcPr>
            <w:tcW w:type="dxa" w:w="105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France</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Rang</w:t>
            </w:r>
          </w:p>
        </w:tc>
        <w:tc>
          <w:tcPr>
            <w:tcW w:type="dxa" w:w="1100"/>
            <w:tcBorders>
              <w:top w:val="none" w:color="FFFFFF" w:sz="0"/>
              <w:left w:val="none" w:color="FFFFFF" w:sz="0"/>
              <w:bottom w:val="single" w:color="DDE2EA" w:sz="8"/>
              <w:right w:val="none" w:color="FFFFFF" w:sz="0"/>
            </w:tcBorders>
            <w:tcMar>
              <w:top w:type="dxa" w:w="60"/>
              <w:left w:type="dxa" w:w="80"/>
              <w:bottom w:type="dxa" w:w="60"/>
              <w:right w:type="dxa" w:w="80"/>
            </w:tcMar>
          </w:tcPr>
          <w:p>
            <w:pPr>
              <w:jc w:val="right"/>
            </w:pPr>
            <w:r>
              <w:rPr>
                <w:rFonts w:ascii="Arial" w:cs="Arial" w:eastAsia="Arial" w:hAnsi="Arial"/>
                <w:b/>
                <w:bCs/>
                <w:color w:val="8A919C"/>
                <w:sz w:val="17"/>
                <w:szCs w:val="17"/>
              </w:rPr>
              <w:t xml:space="preserve">Évol. 5 ans</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Dépenses de fonctionnement par habitant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1 495 €/hab.</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1 318 €/hab.</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2 061</w:t>
            </w:r>
            <w:r>
              <w:rPr>
                <w:rFonts w:ascii="Arial" w:cs="Arial" w:eastAsia="Arial" w:hAnsi="Arial"/>
                <w:color w:val="8A919C"/>
                <w:sz w:val="15"/>
                <w:szCs w:val="15"/>
              </w:rPr>
              <w:br/>
              <w:t xml:space="preserve">sur 34 803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Dépenses d'équipement par habitant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267 €/hab.</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338 €/hab.</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16 619</w:t>
            </w:r>
            <w:r>
              <w:rPr>
                <w:rFonts w:ascii="Arial" w:cs="Arial" w:eastAsia="Arial" w:hAnsi="Arial"/>
                <w:color w:val="8A919C"/>
                <w:sz w:val="15"/>
                <w:szCs w:val="15"/>
              </w:rPr>
              <w:br/>
              <w:t xml:space="preserve">sur 34 803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Épargne nette par habitant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-58 €/hab.</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68 €/hab.</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32 128</w:t>
            </w:r>
            <w:r>
              <w:rPr>
                <w:rFonts w:ascii="Arial" w:cs="Arial" w:eastAsia="Arial" w:hAnsi="Arial"/>
                <w:color w:val="8A919C"/>
                <w:sz w:val="15"/>
                <w:szCs w:val="15"/>
              </w:rPr>
              <w:br/>
              <w:t xml:space="preserve">sur 34 803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Encours de dette par habitant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1 182 €/hab.</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1 141 €/hab.</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4 032</w:t>
            </w:r>
            <w:r>
              <w:rPr>
                <w:rFonts w:ascii="Arial" w:cs="Arial" w:eastAsia="Arial" w:hAnsi="Arial"/>
                <w:color w:val="8A919C"/>
                <w:sz w:val="15"/>
                <w:szCs w:val="15"/>
              </w:rPr>
              <w:br/>
              <w:t xml:space="preserve">sur 34 803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Taux d'endettement (% des recettes)</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67,4 %</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60,9 %</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6 668</w:t>
            </w:r>
            <w:r>
              <w:rPr>
                <w:rFonts w:ascii="Arial" w:cs="Arial" w:eastAsia="Arial" w:hAnsi="Arial"/>
                <w:color w:val="8A919C"/>
                <w:sz w:val="15"/>
                <w:szCs w:val="15"/>
              </w:rPr>
              <w:br/>
              <w:t xml:space="preserve">sur 34 797</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r>
        <w:trPr>
          <w:cantSplit/>
        </w:trPr>
        <w:tc>
          <w:tcPr>
            <w:tcW w:type="dxa" w:w="2788"/>
            <w:tcBorders>
              <w:top w:val="none" w:color="FFFFFF" w:sz="0"/>
              <w:left w:val="none" w:color="FFFFFF" w:sz="0"/>
              <w:bottom w:val="single" w:color="EEF0F3" w:sz="4"/>
              <w:right w:val="none" w:color="FFFFFF" w:sz="0"/>
            </w:tcBorders>
            <w:tcMar>
              <w:top w:type="dxa" w:w="60"/>
              <w:left w:type="dxa" w:w="80"/>
              <w:bottom w:type="dxa" w:w="60"/>
              <w:right w:type="dxa" w:w="80"/>
            </w:tcMar>
          </w:tcPr>
          <w:p>
            <w:pPr>
              <w:jc w:val="left"/>
            </w:pPr>
            <w:r>
              <w:rPr>
                <w:rFonts w:ascii="Arial" w:cs="Arial" w:eastAsia="Arial" w:hAnsi="Arial"/>
                <w:color w:val="111827"/>
                <w:sz w:val="19"/>
                <w:szCs w:val="19"/>
              </w:rPr>
              <w:t xml:space="preserve">Impôts locaux par habitant</w:t>
            </w:r>
          </w:p>
        </w:tc>
        <w:tc>
          <w:tcPr>
            <w:tcW w:type="dxa" w:w="13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b/>
                <w:bCs/>
                <w:color w:val="111827"/>
                <w:sz w:val="19"/>
                <w:szCs w:val="19"/>
              </w:rPr>
              <w:t xml:space="preserve">960 €/hab.</w:t>
            </w:r>
            <w:r>
              <w:rPr>
                <w:rFonts w:ascii="Arial" w:cs="Arial" w:eastAsia="Arial" w:hAnsi="Arial"/>
                <w:color w:val="8A919C"/>
                <w:sz w:val="15"/>
                <w:szCs w:val="15"/>
              </w:rPr>
              <w:br/>
              <w:t xml:space="preserve">2024</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948 €/hab.</w:t>
            </w:r>
          </w:p>
        </w:tc>
        <w:tc>
          <w:tcPr>
            <w:tcW w:type="dxa" w:w="105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111827"/>
                <w:sz w:val="19"/>
                <w:szCs w:val="19"/>
              </w:rPr>
              <w:t xml:space="preserve">1 747</w:t>
            </w:r>
            <w:r>
              <w:rPr>
                <w:rFonts w:ascii="Arial" w:cs="Arial" w:eastAsia="Arial" w:hAnsi="Arial"/>
                <w:color w:val="8A919C"/>
                <w:sz w:val="15"/>
                <w:szCs w:val="15"/>
              </w:rPr>
              <w:br/>
              <w:t xml:space="preserve">sur 34 803</w:t>
            </w:r>
          </w:p>
        </w:tc>
        <w:tc>
          <w:tcPr>
            <w:tcW w:type="dxa" w:w="1100"/>
            <w:tcBorders>
              <w:top w:val="none" w:color="FFFFFF" w:sz="0"/>
              <w:left w:val="none" w:color="FFFFFF" w:sz="0"/>
              <w:bottom w:val="single" w:color="EEF0F3" w:sz="4"/>
              <w:right w:val="none" w:color="FFFFFF" w:sz="0"/>
            </w:tcBorders>
            <w:tcMar>
              <w:top w:type="dxa" w:w="60"/>
              <w:left w:type="dxa" w:w="80"/>
              <w:bottom w:type="dxa" w:w="60"/>
              <w:right w:type="dxa" w:w="80"/>
            </w:tcMar>
          </w:tcPr>
          <w:p>
            <w:pPr>
              <w:jc w:val="right"/>
            </w:pPr>
            <w:r>
              <w:rPr>
                <w:rFonts w:ascii="Arial" w:cs="Arial" w:eastAsia="Arial" w:hAnsi="Arial"/>
                <w:color w:val="5B6472"/>
                <w:sz w:val="19"/>
                <w:szCs w:val="19"/>
              </w:rPr>
              <w:t xml:space="preserv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8EB" w:color="auto" w:val="clear"/>
            <w:tcMar>
              <w:top w:type="dxa" w:w="140"/>
              <w:left w:type="dxa" w:w="200"/>
              <w:bottom w:type="dxa" w:w="100"/>
              <w:right w:type="dxa" w:w="200"/>
            </w:tcMar>
          </w:tcPr>
          <w:p>
            <w:pPr>
              <w:spacing w:after="80" w:line="300"/>
            </w:pPr>
            <w:r>
              <w:rPr>
                <w:rFonts w:ascii="Arial" w:cs="Arial" w:eastAsia="Arial" w:hAnsi="Arial"/>
                <w:b/>
                <w:bCs/>
                <w:color w:val="111827"/>
                <w:sz w:val="20"/>
                <w:szCs w:val="20"/>
              </w:rPr>
              <w:t xml:space="preserve">Enjeux pour le mandat (à compléter)</w:t>
            </w:r>
          </w:p>
          <w:p>
            <w:pPr>
              <w:spacing w:after="60" w:line="300"/>
            </w:pPr>
            <w:r>
              <w:rPr>
                <w:rFonts w:ascii="Arial" w:cs="Arial" w:eastAsia="Arial" w:hAnsi="Arial"/>
                <w:i/>
                <w:iCs/>
                <w:color w:val="8A919C"/>
                <w:sz w:val="19"/>
                <w:szCs w:val="19"/>
              </w:rPr>
              <w:t xml:space="preserve">Enjeux pour le mandat, priorités, projets en cours ou à engager.</w:t>
            </w:r>
          </w:p>
          <w:p>
            <w:pPr>
              <w:spacing w:after="100" w:line="300"/>
            </w:pPr>
            <w:r>
              <w:rPr>
                <w:rFonts w:ascii="Arial" w:cs="Arial" w:eastAsia="Arial" w:hAnsi="Arial"/>
                <w:color w:val="8A919C"/>
                <w:sz w:val="20"/>
                <w:szCs w:val="20"/>
              </w:rPr>
              <w:t xml:space="preserve">…</w:t>
            </w:r>
          </w:p>
        </w:tc>
      </w:tr>
    </w:tbl>
    <w:p>
      <w:pPr>
        <w:pStyle w:val="Heading1"/>
        <w:pBdr>
          <w:bottom w:val="single" w:color="E6E9EE" w:sz="6" w:space="4"/>
        </w:pBdr>
        <w:spacing w:after="160" w:before="360"/>
      </w:pPr>
      <w:r>
        <w:rPr>
          <w:rFonts w:ascii="Arial" w:cs="Arial" w:eastAsia="Arial" w:hAnsi="Arial"/>
          <w:b/>
          <w:bCs/>
          <w:color w:val="111827"/>
          <w:sz w:val="30"/>
          <w:szCs w:val="30"/>
        </w:rPr>
        <w:t xml:space="preserve">09  Contrastes à l'intérieur du territoire</w:t>
      </w:r>
    </w:p>
    <w:p>
      <w:pPr>
        <w:spacing w:after="200" w:line="300"/>
      </w:pPr>
      <w:r>
        <w:rPr>
          <w:rFonts w:ascii="Arial" w:cs="Arial" w:eastAsia="Arial" w:hAnsi="Arial"/>
          <w:color w:val="5B6472"/>
          <w:sz w:val="20"/>
          <w:szCs w:val="20"/>
        </w:rPr>
        <w:t xml:space="preserve">Les moyennes cachent des écarts d'un quartier à l'autre. Les données carroyées de l'Insee découpent le territoire en carrés de 200 m ou de 1 km : pour chaque indicateur, la valeur d'ensemble, l'écart entre les habitants des carreaux les plus bas et les plus hauts, et la part des habitants dans les classes nationales les plus basses et les plus hautes (chaque classe regroupe un septième des habitants de France).</w:t>
      </w:r>
    </w:p>
    <w:p>
      <w:pPr>
        <w:spacing w:after="60" w:line="300"/>
      </w:pPr>
      <w:r>
        <w:rPr>
          <w:rFonts w:ascii="Arial" w:cs="Arial" w:eastAsia="Arial" w:hAnsi="Arial"/>
          <w:b/>
          <w:bCs/>
          <w:color w:val="111827"/>
          <w:sz w:val="21"/>
          <w:szCs w:val="21"/>
        </w:rPr>
        <w:t xml:space="preserve">Niveau de vie moyen</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20 302 € par an. Un habitant sur dix vit dans un carreau à moins de 15 904 € par an, un sur dix dans un carreau à plus de 24 543 € par an. 67 % des habitants vivent dans les deux classes nationales les plus basses, 1 % dans les deux plus hautes.</w:t>
      </w:r>
    </w:p>
    <w:p>
      <w:pPr>
        <w:spacing w:after="60" w:line="300"/>
      </w:pPr>
      <w:r>
        <w:rPr>
          <w:rFonts w:ascii="Arial" w:cs="Arial" w:eastAsia="Arial" w:hAnsi="Arial"/>
          <w:b/>
          <w:bCs/>
          <w:color w:val="111827"/>
          <w:sz w:val="21"/>
          <w:szCs w:val="21"/>
        </w:rPr>
        <w:t xml:space="preserve">Part des 65 ans ou plus</w:t>
      </w:r>
      <w:r>
        <w:rPr>
          <w:rFonts w:ascii="Arial" w:cs="Arial" w:eastAsia="Arial" w:hAnsi="Arial"/>
          <w:color w:val="8A919C"/>
          <w:sz w:val="18"/>
          <w:szCs w:val="18"/>
        </w:rPr>
        <w:t xml:space="preserve"> · Carreaux de 200 m, 2021</w:t>
      </w:r>
    </w:p>
    <w:p>
      <w:pPr>
        <w:spacing w:after="80"/>
      </w:pPr>
      <w:r>
        <w:drawing>
          <wp:inline distT="0" distB="0" distL="0" distR="0">
            <wp:extent cx="400050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00500" cy="3905250"/>
                    </a:xfrm>
                    <a:prstGeom prst="rect">
                      <a:avLst/>
                    </a:prstGeom>
                  </pic:spPr>
                </pic:pic>
              </a:graphicData>
            </a:graphic>
          </wp:inline>
        </w:drawing>
      </w:r>
    </w:p>
    <w:p>
      <w:pPr>
        <w:spacing w:after="200" w:line="300"/>
      </w:pPr>
      <w:r>
        <w:rPr>
          <w:rFonts w:ascii="Arial" w:cs="Arial" w:eastAsia="Arial" w:hAnsi="Arial"/>
          <w:color w:val="111827"/>
          <w:sz w:val="20"/>
          <w:szCs w:val="20"/>
        </w:rPr>
        <w:t xml:space="preserve">Ensemble : 28,0 %. Un habitant sur dix vit dans un carreau à moins de 15,1 %, un sur dix dans un carreau à plus de 43,6 %. 6 % des habitants vivent dans les deux classes nationales les plus basses, 56 % dans les deux plus hautes.</w:t>
      </w:r>
    </w:p>
    <w:p>
      <w:pPr>
        <w:pStyle w:val="Heading1"/>
        <w:pBdr>
          <w:bottom w:val="single" w:color="E6E9EE" w:sz="6" w:space="4"/>
        </w:pBdr>
        <w:spacing w:after="160" w:before="360"/>
      </w:pPr>
      <w:r>
        <w:rPr>
          <w:rFonts w:ascii="Arial" w:cs="Arial" w:eastAsia="Arial" w:hAnsi="Arial"/>
          <w:b/>
          <w:bCs/>
          <w:color w:val="111827"/>
          <w:sz w:val="30"/>
          <w:szCs w:val="30"/>
        </w:rPr>
        <w:t xml:space="preserve">Méthodologie et sources</w:t>
      </w:r>
    </w:p>
    <w:p>
      <w:pPr>
        <w:spacing w:after="80" w:line="300"/>
      </w:pPr>
      <w:r>
        <w:rPr>
          <w:rFonts w:ascii="Arial" w:cs="Arial" w:eastAsia="Arial" w:hAnsi="Arial"/>
          <w:color w:val="5B6472"/>
          <w:sz w:val="18"/>
          <w:szCs w:val="18"/>
        </w:rPr>
        <w:t xml:space="preserve">Valeurs : dernière année disponible de chaque indicateur (indiquée sous la valeur). Semblables : médiane des territoires du même niveau au profil le plus proche (taille, densité, niveau de vie, âge, chômage, logement social). Rang : position du territoire parmi les territoires du même niveau (1 = valeur la plus forte). Évolution sur 5 ans : écart avec la valeur de cinq ans plus tôt, en points pour les pourcentages, en % pour les autres indicateurs. Couleurs : en vert, un écart d'au moins 10 % à la moyenne nationale dans le sens favorable ; en rouge, dans le sens défavorable. Points forts et de vigilance : indicateurs comparables pour lesquels le territoire se situe parmi les 15 % des territoires aux valeurs les plus favorables ou les plus défavorables.</w:t>
      </w:r>
    </w:p>
    <w:p>
      <w:pPr>
        <w:spacing w:after="80" w:line="300"/>
      </w:pPr>
      <w:r>
        <w:rPr>
          <w:rFonts w:ascii="Arial" w:cs="Arial" w:eastAsia="Arial" w:hAnsi="Arial"/>
          <w:color w:val="5B6472"/>
          <w:sz w:val="18"/>
          <w:szCs w:val="18"/>
        </w:rPr>
        <w:t xml:space="preserve">Données carroyées : Insee, Filosofi (carreaux de 200 m) et recensement de la population (carreaux de 1 km). Les petits carreaux sont regroupés ou estimés par l'Insee au titre du secret statistique.</w:t>
      </w:r>
    </w:p>
    <w:p>
      <w:pPr>
        <w:spacing w:after="80" w:line="300"/>
      </w:pPr>
      <w:r>
        <w:rPr>
          <w:rFonts w:ascii="Arial" w:cs="Arial" w:eastAsia="Arial" w:hAnsi="Arial"/>
          <w:color w:val="5B6472"/>
          <w:sz w:val="18"/>
          <w:szCs w:val="18"/>
        </w:rPr>
        <w:t xml:space="preserve">Sources : ADEME ; ARS (DataSanté) ; Agence ORE ; BODACC ; Cerema ; Citepa ; DGFiP ; DREES ; DVF ; Geodashboard, d'après Insee et Ademe ; Géorisques ; Insee ; Min. Intérieur.</w:t>
      </w:r>
    </w:p>
    <w:p>
      <w:pPr>
        <w:spacing w:after="80"/>
      </w:pPr>
      <w:r>
        <w:rPr>
          <w:rFonts w:ascii="Arial" w:cs="Arial" w:eastAsia="Arial" w:hAnsi="Arial"/>
          <w:color w:val="5B6472"/>
          <w:sz w:val="18"/>
          <w:szCs w:val="18"/>
        </w:rPr>
        <w:t xml:space="preserve">Dossier produit par Geodashboard (</w:t>
      </w:r>
      <w:hyperlink w:history="1" r:id="rIdopvkxbotkzttshopr9fpg">
        <w:r>
          <w:rPr>
            <w:rFonts w:ascii="Arial" w:cs="Arial" w:eastAsia="Arial" w:hAnsi="Arial"/>
            <w:color w:val="0052CC"/>
            <w:sz w:val="18"/>
            <w:szCs w:val="18"/>
            <w:u w:val="single"/>
          </w:rPr>
          <w:t xml:space="preserve">geodashboard.fr</w:t>
        </w:r>
      </w:hyperlink>
      <w:r>
        <w:rPr>
          <w:rFonts w:ascii="Arial" w:cs="Arial" w:eastAsia="Arial" w:hAnsi="Arial"/>
          <w:color w:val="5B6472"/>
          <w:sz w:val="18"/>
          <w:szCs w:val="18"/>
        </w:rPr>
        <w:t xml:space="preserve">) à partir des données publiques officielles.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A919C"/>
        <w:sz w:val="16"/>
        <w:szCs w:val="16"/>
      </w:rPr>
      <w:t xml:space="preserve">geodashboard.fr · page </w:t>
    </w:r>
    <w:r>
      <w:rPr>
        <w:rFonts w:ascii="Arial" w:cs="Arial" w:eastAsia="Arial" w:hAnsi="Arial"/>
        <w:color w:val="8A919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A919C"/>
        <w:sz w:val="16"/>
        <w:szCs w:val="16"/>
      </w:rPr>
      <w:t xml:space="preserve">Portrait de territoire · Vierzon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pvkxbotkzttshopr9fpg" Type="http://schemas.openxmlformats.org/officeDocument/2006/relationships/hyperlink" Target="https://geodashboard.fr" TargetMode="External"/><Relationship Id="rId9" Type="http://schemas.openxmlformats.org/officeDocument/2006/relationships/image" Target="media/f9fd6071608667d1c7318a45f24f7d4979c24cdc.png"/><Relationship Id="rId10" Type="http://schemas.openxmlformats.org/officeDocument/2006/relationships/image" Target="media/5c68d9880a8dce3823f0bdf88fa70f0ec5f64bd7.png"/><Relationship Id="rId11" Type="http://schemas.openxmlformats.org/officeDocument/2006/relationships/image" Target="media/1edc4cf77815d7b481c52261787dd5e084a8337f.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Portrait de territoire — Vierzon</dc:title>
  <dc:creator>Geodashboard</dc:creator>
  <cp:lastModifiedBy>Un-named</cp:lastModifiedBy>
  <cp:revision>1</cp:revision>
  <dcterms:created xsi:type="dcterms:W3CDTF">2026-11-02T11:23:54.968Z</dcterms:created>
  <dcterms:modified xsi:type="dcterms:W3CDTF">2026-11-02T11:23:54.968Z</dcterms:modified>
</cp:coreProperties>
</file>

<file path=docProps/custom.xml><?xml version="1.0" encoding="utf-8"?>
<Properties xmlns="http://schemas.openxmlformats.org/officeDocument/2006/custom-properties" xmlns:vt="http://schemas.openxmlformats.org/officeDocument/2006/docPropsVTypes"/>
</file>