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23850" cy="323850"/>
                    </a:xfrm>
                    <a:prstGeom prst="rect">
                      <a:avLst/>
                    </a:prstGeom>
                  </pic:spPr>
                </pic:pic>
              </a:graphicData>
            </a:graphic>
          </wp:inline>
        </w:drawing>
      </w:r>
      <w:r>
        <w:rPr>
          <w:rFonts w:ascii="Arial" w:cs="Arial" w:eastAsia="Arial" w:hAnsi="Arial"/>
          <w:b/>
          <w:bCs/>
          <w:color w:val="111827"/>
          <w:sz w:val="24"/>
          <w:szCs w:val="24"/>
        </w:rPr>
        <w:t xml:space="preserve">  geodashboard</w:t>
      </w:r>
    </w:p>
    <w:p>
      <w:pPr>
        <w:spacing w:after="80" w:line="300"/>
      </w:pPr>
      <w:r>
        <w:rPr>
          <w:rFonts w:ascii="Arial" w:cs="Arial" w:eastAsia="Arial" w:hAnsi="Arial"/>
          <w:b/>
          <w:bCs/>
          <w:color w:val="0052CC"/>
          <w:sz w:val="20"/>
          <w:szCs w:val="20"/>
        </w:rPr>
        <w:t xml:space="preserve">Particuliers, entreprises et associations</w:t>
      </w:r>
    </w:p>
    <w:p>
      <w:pPr>
        <w:pStyle w:val="Title"/>
        <w:spacing w:after="80"/>
      </w:pPr>
      <w:r>
        <w:rPr>
          <w:rFonts w:ascii="Arial" w:cs="Arial" w:eastAsia="Arial" w:hAnsi="Arial"/>
          <w:b/>
          <w:bCs/>
          <w:color w:val="1A1A2E"/>
          <w:sz w:val="52"/>
          <w:szCs w:val="52"/>
        </w:rPr>
        <w:t xml:space="preserve">Rapport de territoire</w:t>
      </w:r>
    </w:p>
    <w:p>
      <w:pPr>
        <w:spacing w:after="200" w:line="300"/>
      </w:pPr>
      <w:r>
        <w:rPr>
          <w:rFonts w:ascii="Arial" w:cs="Arial" w:eastAsia="Arial" w:hAnsi="Arial"/>
          <w:color w:val="5B6472"/>
          <w:sz w:val="32"/>
          <w:szCs w:val="32"/>
        </w:rPr>
        <w:t xml:space="preserve">CC Vierzon-Sologne-Berry et Villages de la Forêt</w:t>
      </w:r>
    </w:p>
    <w:p>
      <w:pPr>
        <w:spacing w:after="400" w:line="300"/>
      </w:pPr>
      <w:r>
        <w:rPr>
          <w:rFonts w:ascii="Arial" w:cs="Arial" w:eastAsia="Arial" w:hAnsi="Arial"/>
          <w:color w:val="5B6472"/>
          <w:sz w:val="19"/>
          <w:szCs w:val="19"/>
        </w:rPr>
        <w:t xml:space="preserve">Intercommunalité · comparé au département (Cher) et à la France · données 2016 à 2026 · édité le 03/11/2026</w:t>
      </w:r>
    </w:p>
    <w:p>
      <w:pPr>
        <w:spacing w:after="200" w:line="300"/>
      </w:pPr>
      <w:r>
        <w:rPr>
          <w:rFonts w:ascii="Arial" w:cs="Arial" w:eastAsia="Arial" w:hAnsi="Arial"/>
          <w:color w:val="111827"/>
          <w:sz w:val="21"/>
          <w:szCs w:val="21"/>
        </w:rPr>
        <w:t xml:space="preserve">Ce rapport réunit les chiffres clés de CC Vierzon-Sologne-Berry et Villages de la Forêt sur toutes les thématiques : population et dynamique démographique, revenus, économie et emploi, logement et immobilier, écoles et services, santé, environnement, risques et sécurité. Chaque indicateur est comparé au département et à la France, avec son rang parmi les territoires comparables et son évolution sur cinq ans ; les points forts et les points de vigilance sont repérés automatiquement.</w:t>
      </w:r>
    </w:p>
    <w:p>
      <w:pPr>
        <w:spacing w:after="60" w:line="300"/>
      </w:pPr>
      <w:r>
        <w:rPr>
          <w:rFonts w:ascii="Arial" w:cs="Arial" w:eastAsia="Arial" w:hAnsi="Arial"/>
          <w:b/>
          <w:bCs/>
          <w:color w:val="111827"/>
          <w:sz w:val="20"/>
          <w:szCs w:val="20"/>
        </w:rPr>
        <w:t xml:space="preserve">Intercommunalités au profil semblable : </w:t>
      </w:r>
      <w:r>
        <w:rPr>
          <w:rFonts w:ascii="Arial" w:cs="Arial" w:eastAsia="Arial" w:hAnsi="Arial"/>
          <w:color w:val="111827"/>
          <w:sz w:val="20"/>
          <w:szCs w:val="20"/>
        </w:rPr>
        <w:t xml:space="preserve">CC Ardenne, Rives de Meuse (08), CA Montluçon Communauté (03), CC de la Haute Somme (Combles - Péronne - Roisel) (80), CC des Trois Rivières (02), CA de Saint-Dié-Des-Vosges (88), CA Chauny Tergnier la Fère (02), CA de la Baie de Somme (80), CC de l'Est de la Somme (80), CC Région Lézignanaise, Corbières et Minervois (11), CC des Albères, de la Côte Vermeille et de l'Illibéris (66).</w:t>
      </w:r>
    </w:p>
    <w:p>
      <w:pPr>
        <w:spacing w:after="240" w:line="300"/>
      </w:pPr>
      <w:r>
        <w:rPr>
          <w:rFonts w:ascii="Arial" w:cs="Arial" w:eastAsia="Arial" w:hAnsi="Arial"/>
          <w:color w:val="8A919C"/>
          <w:sz w:val="18"/>
          <w:szCs w:val="18"/>
        </w:rPr>
        <w:t xml:space="preserve">Retenues pour leur taille, leur densité, leur niveau de vie, leur part de 55 ans et plus, leur taux de chômage et leur part de locataires HLM ; la colonne « Semblables » donne la médiane de leurs valeurs.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ECFDF3"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Points forts</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Pharmacies pour 10 000 habitants : </w:t>
            </w:r>
            <w:r>
              <w:rPr>
                <w:rFonts w:ascii="Arial" w:cs="Arial" w:eastAsia="Arial" w:hAnsi="Arial"/>
                <w:b/>
                <w:bCs/>
                <w:color w:val="111827"/>
                <w:sz w:val="20"/>
                <w:szCs w:val="20"/>
              </w:rPr>
              <w:t xml:space="preserve">4,0</w:t>
            </w:r>
            <w:r>
              <w:rPr>
                <w:rFonts w:ascii="Arial" w:cs="Arial" w:eastAsia="Arial" w:hAnsi="Arial"/>
                <w:color w:val="8A919C"/>
                <w:sz w:val="18"/>
                <w:szCs w:val="18"/>
              </w:rPr>
              <w:t xml:space="preserve"> (184e sur 1 231)</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Années de revenu pour acheter 70 m² (couple) : </w:t>
            </w:r>
            <w:r>
              <w:rPr>
                <w:rFonts w:ascii="Arial" w:cs="Arial" w:eastAsia="Arial" w:hAnsi="Arial"/>
                <w:b/>
                <w:bCs/>
                <w:color w:val="111827"/>
                <w:sz w:val="20"/>
                <w:szCs w:val="20"/>
              </w:rPr>
              <w:t xml:space="preserve">1,6 ans</w:t>
            </w:r>
            <w:r>
              <w:rPr>
                <w:rFonts w:ascii="Arial" w:cs="Arial" w:eastAsia="Arial" w:hAnsi="Arial"/>
                <w:color w:val="8A919C"/>
                <w:sz w:val="18"/>
                <w:szCs w:val="18"/>
              </w:rPr>
              <w:t xml:space="preserve"> (896e sur 1 016)</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EF3F2"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Points de vigilance</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Niveau de vie médian : </w:t>
            </w:r>
            <w:r>
              <w:rPr>
                <w:rFonts w:ascii="Arial" w:cs="Arial" w:eastAsia="Arial" w:hAnsi="Arial"/>
                <w:b/>
                <w:bCs/>
                <w:color w:val="111827"/>
                <w:sz w:val="20"/>
                <w:szCs w:val="20"/>
              </w:rPr>
              <w:t xml:space="preserve">22 680 €</w:t>
            </w:r>
            <w:r>
              <w:rPr>
                <w:rFonts w:ascii="Arial" w:cs="Arial" w:eastAsia="Arial" w:hAnsi="Arial"/>
                <w:color w:val="8A919C"/>
                <w:sz w:val="18"/>
                <w:szCs w:val="18"/>
              </w:rPr>
              <w:t xml:space="preserve"> (1 160e sur 1 235)</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Taux de pauvreté : </w:t>
            </w:r>
            <w:r>
              <w:rPr>
                <w:rFonts w:ascii="Arial" w:cs="Arial" w:eastAsia="Arial" w:hAnsi="Arial"/>
                <w:b/>
                <w:bCs/>
                <w:color w:val="111827"/>
                <w:sz w:val="20"/>
                <w:szCs w:val="20"/>
              </w:rPr>
              <w:t xml:space="preserve">21,8 %</w:t>
            </w:r>
            <w:r>
              <w:rPr>
                <w:rFonts w:ascii="Arial" w:cs="Arial" w:eastAsia="Arial" w:hAnsi="Arial"/>
                <w:color w:val="8A919C"/>
                <w:sz w:val="18"/>
                <w:szCs w:val="18"/>
              </w:rPr>
              <w:t xml:space="preserve"> (82e sur 1 235)</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Foyers fiscaux imposés : </w:t>
            </w:r>
            <w:r>
              <w:rPr>
                <w:rFonts w:ascii="Arial" w:cs="Arial" w:eastAsia="Arial" w:hAnsi="Arial"/>
                <w:b/>
                <w:bCs/>
                <w:color w:val="111827"/>
                <w:sz w:val="20"/>
                <w:szCs w:val="20"/>
              </w:rPr>
              <w:t xml:space="preserve">37,7 %</w:t>
            </w:r>
            <w:r>
              <w:rPr>
                <w:rFonts w:ascii="Arial" w:cs="Arial" w:eastAsia="Arial" w:hAnsi="Arial"/>
                <w:color w:val="8A919C"/>
                <w:sz w:val="18"/>
                <w:szCs w:val="18"/>
              </w:rPr>
              <w:t xml:space="preserve"> (1 102e sur 1 231)</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Peu ou pas diplômés : </w:t>
            </w:r>
            <w:r>
              <w:rPr>
                <w:rFonts w:ascii="Arial" w:cs="Arial" w:eastAsia="Arial" w:hAnsi="Arial"/>
                <w:b/>
                <w:bCs/>
                <w:color w:val="111827"/>
                <w:sz w:val="20"/>
                <w:szCs w:val="20"/>
              </w:rPr>
              <w:t xml:space="preserve">34,6 %</w:t>
            </w:r>
            <w:r>
              <w:rPr>
                <w:rFonts w:ascii="Arial" w:cs="Arial" w:eastAsia="Arial" w:hAnsi="Arial"/>
                <w:color w:val="8A919C"/>
                <w:sz w:val="18"/>
                <w:szCs w:val="18"/>
              </w:rPr>
              <w:t xml:space="preserve"> (44e sur 1 231)</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Taux de chômage (au sens du recensement) : </w:t>
            </w:r>
            <w:r>
              <w:rPr>
                <w:rFonts w:ascii="Arial" w:cs="Arial" w:eastAsia="Arial" w:hAnsi="Arial"/>
                <w:b/>
                <w:bCs/>
                <w:color w:val="111827"/>
                <w:sz w:val="20"/>
                <w:szCs w:val="20"/>
              </w:rPr>
              <w:t xml:space="preserve">17,4 %</w:t>
            </w:r>
            <w:r>
              <w:rPr>
                <w:rFonts w:ascii="Arial" w:cs="Arial" w:eastAsia="Arial" w:hAnsi="Arial"/>
                <w:color w:val="8A919C"/>
                <w:sz w:val="18"/>
                <w:szCs w:val="18"/>
              </w:rPr>
              <w:t xml:space="preserve"> (18e sur 1 231)</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Défaillances pour 1 000 établissements : </w:t>
            </w:r>
            <w:r>
              <w:rPr>
                <w:rFonts w:ascii="Arial" w:cs="Arial" w:eastAsia="Arial" w:hAnsi="Arial"/>
                <w:b/>
                <w:bCs/>
                <w:color w:val="111827"/>
                <w:sz w:val="20"/>
                <w:szCs w:val="20"/>
              </w:rPr>
              <w:t xml:space="preserve">19</w:t>
            </w:r>
            <w:r>
              <w:rPr>
                <w:rFonts w:ascii="Arial" w:cs="Arial" w:eastAsia="Arial" w:hAnsi="Arial"/>
                <w:color w:val="8A919C"/>
                <w:sz w:val="18"/>
                <w:szCs w:val="18"/>
              </w:rPr>
              <w:t xml:space="preserve"> (6e sur 1 231)</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01  Population et dynamique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Population</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37 888</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354</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-2,7 %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Variation annuelle de la population (6 ans)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-0,55 %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-0,31 %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-0,61 %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0,39 %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1 085</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dont solde naturel (naissances − décès)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-0,49 %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-0,43 %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-0,44 %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0,13 %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864</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dont solde migratoire (arrivées − départs)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-0,06 %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0,12 %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-0,23 %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0,26 %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949</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Taux de natalité</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10,1 ‰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8,9 ‰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8,6 ‰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10,8 ‰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328</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Taux de mortalité</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15,1 ‰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13,2 ‰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12,8 ‰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9,5 ‰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155</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moins de 15 ans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15,6 %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15,3 %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16,1 %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16,9 %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739</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-0,8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15-24 ans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9,3 %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9,9 %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10,2 %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11,9 %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707</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-0,2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25-54 ans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32,5 %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33,6 %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33,6 %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37,2 %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948</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-1,4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55 ans et plus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42,7 %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41,2 %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40,2 %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34,0 %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370</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70 ans et plus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21,9 %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19,9 %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18,0 %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15,5 %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+2,5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Ménages d'une personne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42,5 %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40,9 %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38,0 %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39,2 %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124</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+3,8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Familles monoparentales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10,3 %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8,7 %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9,8 %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186</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+0,4 pt</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dont solde naturel (naissances − décès) : -0,49 % en 2023, moins de la moitié de la moyenne nationale (France : 0,13 % ; département : -0,43 % ; territoires semblables : -0,44 %).</w:t>
            </w:r>
          </w:p>
          <w:p>
            <w:pPr>
              <w:spacing w:after="60" w:line="300"/>
            </w:pPr>
            <w:r>
              <w:rPr>
                <w:rFonts w:ascii="Arial" w:cs="Arial" w:eastAsia="Arial" w:hAnsi="Arial"/>
                <w:color w:val="111827"/>
                <w:sz w:val="20"/>
                <w:szCs w:val="20"/>
              </w:rPr>
              <w:t xml:space="preserve">Variation annuelle de la population (6 ans) : -0,55 % en 2023, moins de la moitié de la moyenne nationale (France : 0,39 % ; département : -0,31 % ; territoires semblables : -0,61 %).</w:t>
            </w:r>
          </w:p>
          <w:p>
            <w:pPr>
              <w:spacing w:after="60" w:line="300"/>
            </w:pPr>
            <w:r>
              <w:rPr>
                <w:rFonts w:ascii="Arial" w:cs="Arial" w:eastAsia="Arial" w:hAnsi="Arial"/>
                <w:color w:val="111827"/>
                <w:sz w:val="20"/>
                <w:szCs w:val="20"/>
              </w:rPr>
              <w:t xml:space="preserve">dont solde migratoire (arrivées − départs) : -0,06 % en 2023, moins de la moitié de la moyenne nationale (France : 0,26 % ; département : 0,12 % ; territoires semblables : -0,23 %).</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02  Arrivées et départs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Nouveaux habitants arrivés dans l'année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1 591</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433</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Arrivées pour 100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4,2 %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3,1 %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3,7 %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0,5 %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931</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Habitants partis dans l'année (vers le reste de la France)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1 610</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346</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Départs pour 100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4,3 %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2,8 %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4,1 %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513</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Solde des arrivées et des départs (reste de la France)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-32</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1 052</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Arrivées pour 100 habitants : 4,2 % en 2023, plus du double de la moyenne nationale (France : 0,5 % ; département : 3,1 % ; territoires semblables : 3,7 %).</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03  Revenus et catégories sociales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Niveau de vie médian</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22 680 €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24 730 €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23 275 €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25 920 €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1 160</w:t>
            </w:r>
            <w:r>
              <w:rPr>
                <w:rFonts w:ascii="Arial" w:cs="Arial" w:eastAsia="Arial" w:hAnsi="Arial"/>
                <w:color w:val="8A919C"/>
                <w:sz w:val="15"/>
                <w:szCs w:val="15"/>
              </w:rPr>
              <w:br/>
              <w:t xml:space="preserve">sur 1 235</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Taux de pauvreté</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21,8 %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15,9 %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18,9 %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15,9 %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82</w:t>
            </w:r>
            <w:r>
              <w:rPr>
                <w:rFonts w:ascii="Arial" w:cs="Arial" w:eastAsia="Arial" w:hAnsi="Arial"/>
                <w:color w:val="8A919C"/>
                <w:sz w:val="15"/>
                <w:szCs w:val="15"/>
              </w:rPr>
              <w:br/>
              <w:t xml:space="preserve">sur 1 235</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Foyers fiscaux imposés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37,7 %</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45,1 %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39,1 %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48,0 %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1 102</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-5,0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Cadres et professions intellectuelles supérieures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4,7 %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6,4 %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4,3 %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11,3 %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902</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+0,9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Ouvriers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14,0 %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13,1 %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15,7 %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11,4 %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543</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-1,6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Retraités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37,8 %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35,3 %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34,6 %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28,1 %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293</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+2,7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Diplômés du supérieur (15 ans et plus sortis de l'école)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18,9 %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24,7 %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20,2 %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34,3 %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1 137</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Peu ou pas diplômés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34,6 %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27,8 %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33,9 %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24,2 %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44</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Cadres et professions intellectuelles supérieures : 4,7 % en 2023, moins de la moitié de la moyenne nationale (France : 11,3 % ; département : 6,4 % ; territoires semblables : 4,3 %), en hausse de 0,9 point en cinq ans.</w:t>
            </w:r>
          </w:p>
          <w:p>
            <w:pPr>
              <w:spacing w:after="60" w:line="300"/>
            </w:pPr>
            <w:r>
              <w:rPr>
                <w:rFonts w:ascii="Arial" w:cs="Arial" w:eastAsia="Arial" w:hAnsi="Arial"/>
                <w:color w:val="111827"/>
                <w:sz w:val="20"/>
                <w:szCs w:val="20"/>
              </w:rPr>
              <w:t xml:space="preserve">Diplômés du supérieur (15 ans et plus sortis de l'école) : 18,9 % en 2023, nettement en dessous de la moyenne nationale (France : 34,3 % ; département : 24,7 % ; territoires semblables : 20,2 %).</w:t>
            </w:r>
          </w:p>
          <w:p>
            <w:pPr>
              <w:spacing w:after="60" w:line="300"/>
            </w:pPr>
            <w:r>
              <w:rPr>
                <w:rFonts w:ascii="Arial" w:cs="Arial" w:eastAsia="Arial" w:hAnsi="Arial"/>
                <w:color w:val="111827"/>
                <w:sz w:val="20"/>
                <w:szCs w:val="20"/>
              </w:rPr>
              <w:t xml:space="preserve">Peu ou pas diplômés : 34,6 % en 2023, nettement au-dessus de la moyenne nationale (France : 24,2 % ; département : 27,8 % ; territoires semblables : 33,9 %).</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04  Économie et emploi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Emplois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12 602</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364</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-0,9 %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Emplois pour 100 actifs occupés résidents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97</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96</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89</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99</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-0,0 %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Actifs ayant un emploi</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13 010</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448</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-0,9 %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Chômeurs (au sens du recensement)</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2 736</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219</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-13,0 %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Taux de chômage (au sens du recensement)</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17,4 %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11,5 %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15,2 %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10,9 %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18</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Établissements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2 275</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476</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+18,6 %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Créations d'établissements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467</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434</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+41,9 %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Défaillances pour 1 000 établissements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19</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6</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+19,8 %</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Défaillances pour 1 000 établissements : 19 en 2023, plus du double de la moyenne nationale (France : 8 ; département : 11 ; territoires semblables : 9), en hausse de 19,8 % en cinq ans.</w:t>
            </w:r>
          </w:p>
          <w:p>
            <w:pPr>
              <w:spacing w:after="60" w:line="300"/>
            </w:pPr>
            <w:r>
              <w:rPr>
                <w:rFonts w:ascii="Arial" w:cs="Arial" w:eastAsia="Arial" w:hAnsi="Arial"/>
                <w:color w:val="111827"/>
                <w:sz w:val="20"/>
                <w:szCs w:val="20"/>
              </w:rPr>
              <w:t xml:space="preserve">Taux de chômage (au sens du recensement) : 17,4 % en 2023, nettement au-dessus de la moyenne nationale (France : 10,9 % ; département : 11,5 % ; territoires semblables : 15,2 %), en baisse de 1,9 point en cinq ans.</w:t>
            </w:r>
          </w:p>
          <w:p>
            <w:pPr>
              <w:spacing w:after="60" w:line="300"/>
            </w:pPr>
            <w:r>
              <w:rPr>
                <w:rFonts w:ascii="Arial" w:cs="Arial" w:eastAsia="Arial" w:hAnsi="Arial"/>
                <w:color w:val="111827"/>
                <w:sz w:val="20"/>
                <w:szCs w:val="20"/>
              </w:rPr>
              <w:t xml:space="preserve">Créations d'établissements : 467 en 2025, en hausse de 41,9 % en cinq ans.</w:t>
            </w:r>
          </w:p>
          <w:p>
            <w:pPr>
              <w:spacing w:after="60" w:line="300"/>
            </w:pPr>
            <w:r>
              <w:rPr>
                <w:rFonts w:ascii="Arial" w:cs="Arial" w:eastAsia="Arial" w:hAnsi="Arial"/>
                <w:color w:val="111827"/>
                <w:sz w:val="20"/>
                <w:szCs w:val="20"/>
              </w:rPr>
              <w:t xml:space="preserve">Établissements : 2 275 en 2023, en hausse de 18,6 % en cinq ans.</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05  Parc de logements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Logements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22 380</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332</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+0,5 %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résidences secondaires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4,0 %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6,8 %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3,6 %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8,8 %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+0,1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Taux de vacance des logements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13,3 %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12,3 %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10,8 %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7,7 %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Logements vacants du parc privé (fichiers fiscaux)</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2 858</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158</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-16,6 %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dont vacants depuis plus de 2 ans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1 690</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124</w:t>
            </w:r>
            <w:r>
              <w:rPr>
                <w:rFonts w:ascii="Arial" w:cs="Arial" w:eastAsia="Arial" w:hAnsi="Arial"/>
                <w:color w:val="8A919C"/>
                <w:sz w:val="15"/>
                <w:szCs w:val="15"/>
              </w:rPr>
              <w:br/>
              <w:t xml:space="preserve">sur 1 230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-3,0 %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Propriétaires occupants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65,4 %</w:t>
            </w:r>
            <w:r>
              <w:rPr>
                <w:rFonts w:ascii="Arial" w:cs="Arial" w:eastAsia="Arial" w:hAnsi="Arial"/>
                <w:color w:val="8A919C"/>
                <w:sz w:val="15"/>
                <w:szCs w:val="15"/>
              </w:rPr>
              <w:br/>
              <w:t xml:space="preserve">2022</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67,6 %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62,1 %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57,7 %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889</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+0,0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Locataires du parc privé</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19,9 %</w:t>
            </w:r>
            <w:r>
              <w:rPr>
                <w:rFonts w:ascii="Arial" w:cs="Arial" w:eastAsia="Arial" w:hAnsi="Arial"/>
                <w:color w:val="8A919C"/>
                <w:sz w:val="15"/>
                <w:szCs w:val="15"/>
              </w:rPr>
              <w:br/>
              <w:t xml:space="preserve">2022</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16,7 %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20,4 %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21,7 %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366</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-0,5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Locataires HLM</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12,4 %</w:t>
            </w:r>
            <w:r>
              <w:rPr>
                <w:rFonts w:ascii="Arial" w:cs="Arial" w:eastAsia="Arial" w:hAnsi="Arial"/>
                <w:color w:val="8A919C"/>
                <w:sz w:val="15"/>
                <w:szCs w:val="15"/>
              </w:rPr>
              <w:br/>
              <w:t xml:space="preserve">2022</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11,7 %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11,8 %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14,5 %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235</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+0,8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Logements sociaux</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2 489</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267</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Petits logements (1 ou 2 pièces)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11,3 %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10,9 %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19,0 %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Grands logements (5 pièces ou plus)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36,5 %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42,0 %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48,1 %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36,4 %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Passoires thermiques (DPE F-G)</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35,8 %</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29,5 %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28,2 %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20,4 %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294</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Passoires thermiques (DPE F-G) : 35,8 % en 2024, nettement au-dessus de la moyenne nationale (France : 20,4 % ; département : 29,5 % ; territoires semblables : 28,2 %).</w:t>
            </w:r>
          </w:p>
          <w:p>
            <w:pPr>
              <w:spacing w:after="60" w:line="300"/>
            </w:pPr>
            <w:r>
              <w:rPr>
                <w:rFonts w:ascii="Arial" w:cs="Arial" w:eastAsia="Arial" w:hAnsi="Arial"/>
                <w:color w:val="111827"/>
                <w:sz w:val="20"/>
                <w:szCs w:val="20"/>
              </w:rPr>
              <w:t xml:space="preserve">Taux de vacance des logements : 13,3 % en 2023, nettement au-dessus de la moyenne nationale (France : 7,7 % ; département : 12,3 % ; territoires semblables : 10,8 %), en baisse de 1,1 point en cinq ans.</w:t>
            </w:r>
          </w:p>
          <w:p>
            <w:pPr>
              <w:spacing w:after="60" w:line="300"/>
            </w:pPr>
            <w:r>
              <w:rPr>
                <w:rFonts w:ascii="Arial" w:cs="Arial" w:eastAsia="Arial" w:hAnsi="Arial"/>
                <w:color w:val="111827"/>
                <w:sz w:val="20"/>
                <w:szCs w:val="20"/>
              </w:rPr>
              <w:t xml:space="preserve">Part des résidences secondaires : 4,0 % en 2023, moins de la moitié de la moyenne nationale (France : 8,8 % ; département : 6,8 % ; territoires semblables : 3,6 %), stable en cinq ans.</w:t>
            </w:r>
          </w:p>
          <w:p>
            <w:pPr>
              <w:spacing w:after="60" w:line="300"/>
            </w:pPr>
            <w:r>
              <w:rPr>
                <w:rFonts w:ascii="Arial" w:cs="Arial" w:eastAsia="Arial" w:hAnsi="Arial"/>
                <w:color w:val="111827"/>
                <w:sz w:val="20"/>
                <w:szCs w:val="20"/>
              </w:rPr>
              <w:t xml:space="preserve">Logements vacants du parc privé (fichiers fiscaux) : 2 858 en 2024, en baisse de 16,6 % en cinq ans.</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06  Marché immobilier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Prix des appartements (3 dernières années)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894 €/m²</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1 434 €/m²</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1 045 €/m²</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3 286 €/m²</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934</w:t>
            </w:r>
            <w:r>
              <w:rPr>
                <w:rFonts w:ascii="Arial" w:cs="Arial" w:eastAsia="Arial" w:hAnsi="Arial"/>
                <w:color w:val="8A919C"/>
                <w:sz w:val="15"/>
                <w:szCs w:val="15"/>
              </w:rPr>
              <w:br/>
              <w:t xml:space="preserve">sur 1 017</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Prix des maisons (3 dernières années)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1 056 €/m²</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1 222 €/m²</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1 209 €/m²</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2 163 €/m²</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1 083</w:t>
            </w:r>
            <w:r>
              <w:rPr>
                <w:rFonts w:ascii="Arial" w:cs="Arial" w:eastAsia="Arial" w:hAnsi="Arial"/>
                <w:color w:val="8A919C"/>
                <w:sz w:val="15"/>
                <w:szCs w:val="15"/>
              </w:rPr>
              <w:br/>
              <w:t xml:space="preserve">sur 1 171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Ventes de logements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894</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316</w:t>
            </w:r>
            <w:r>
              <w:rPr>
                <w:rFonts w:ascii="Arial" w:cs="Arial" w:eastAsia="Arial" w:hAnsi="Arial"/>
                <w:color w:val="8A919C"/>
                <w:sz w:val="15"/>
                <w:szCs w:val="15"/>
              </w:rPr>
              <w:br/>
              <w:t xml:space="preserve">sur 1 171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+9,6 %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Ventes de terrains à bâtir</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w:t>
            </w:r>
            <w:r>
              <w:rPr>
                <w:rFonts w:ascii="Arial" w:cs="Arial" w:eastAsia="Arial" w:hAnsi="Arial"/>
                <w:color w:val="8A919C"/>
                <w:sz w:val="15"/>
                <w:szCs w:val="15"/>
              </w:rPr>
              <w:br/>
              <w:t xml:space="preserve">2020</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525</w:t>
            </w:r>
            <w:r>
              <w:rPr>
                <w:rFonts w:ascii="Arial" w:cs="Arial" w:eastAsia="Arial" w:hAnsi="Arial"/>
                <w:color w:val="8A919C"/>
                <w:sz w:val="15"/>
                <w:szCs w:val="15"/>
              </w:rPr>
              <w:br/>
              <w:t xml:space="preserve">sur 718</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Années de revenu pour acheter 70 m² (couple)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067647"/>
                <w:sz w:val="19"/>
                <w:szCs w:val="19"/>
              </w:rPr>
              <w:t xml:space="preserve">1,6 ans</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2,3 ans</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1,8 ans</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5,1 ans</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896</w:t>
            </w:r>
            <w:r>
              <w:rPr>
                <w:rFonts w:ascii="Arial" w:cs="Arial" w:eastAsia="Arial" w:hAnsi="Arial"/>
                <w:color w:val="8A919C"/>
                <w:sz w:val="15"/>
                <w:szCs w:val="15"/>
              </w:rPr>
              <w:br/>
              <w:t xml:space="preserve">sur 1 016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Exposition au renouvellement du parc (0-100)</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77,4 /100</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82,9 /100</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59,2 /100</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182</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Prix des appartements (3 dernières années) : 894 €/m² en 2025, moins de la moitié de la moyenne nationale (France : 3 286 €/m² ; département : 1 434 €/m² ; territoires semblables : 1 045 €/m²).</w:t>
            </w:r>
          </w:p>
          <w:p>
            <w:pPr>
              <w:spacing w:after="60" w:line="300"/>
            </w:pPr>
            <w:r>
              <w:rPr>
                <w:rFonts w:ascii="Arial" w:cs="Arial" w:eastAsia="Arial" w:hAnsi="Arial"/>
                <w:color w:val="111827"/>
                <w:sz w:val="20"/>
                <w:szCs w:val="20"/>
              </w:rPr>
              <w:t xml:space="preserve">Années de revenu pour acheter 70 m² (couple) : 1,6 ans en 2025, moins de la moitié de la moyenne nationale (France : 5,1 ans ; département : 2,3 ans ; territoires semblables : 1,8 ans).</w:t>
            </w:r>
          </w:p>
          <w:p>
            <w:pPr>
              <w:spacing w:after="60" w:line="300"/>
            </w:pPr>
            <w:r>
              <w:rPr>
                <w:rFonts w:ascii="Arial" w:cs="Arial" w:eastAsia="Arial" w:hAnsi="Arial"/>
                <w:color w:val="111827"/>
                <w:sz w:val="20"/>
                <w:szCs w:val="20"/>
              </w:rPr>
              <w:t xml:space="preserve">Prix des maisons (3 dernières années) : 1 056 €/m² en 2025, moins de la moitié de la moyenne nationale (France : 2 163 €/m² ; département : 1 222 €/m² ; territoires semblables : 1 209 €/m²).</w:t>
            </w:r>
          </w:p>
          <w:p>
            <w:pPr>
              <w:spacing w:after="60" w:line="300"/>
            </w:pPr>
            <w:r>
              <w:rPr>
                <w:rFonts w:ascii="Arial" w:cs="Arial" w:eastAsia="Arial" w:hAnsi="Arial"/>
                <w:color w:val="111827"/>
                <w:sz w:val="20"/>
                <w:szCs w:val="20"/>
              </w:rPr>
              <w:t xml:space="preserve">Ventes de logements : 894 en 2025, en hausse de 9,6 % en cinq ans.</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07  Écoles, commerces et services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Écoles maternelles et élémentaires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35</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320</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Collèges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360</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Lycées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339</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Indice de position sociale moyen des écoles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91,4</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99,3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95,3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106,3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1 169</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Commerces alimentaires pour 10 000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16,4</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13,6</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16,0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529</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Supermarchés et hypermarchés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10</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311</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Gares de voyageurs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252</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France services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318</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Équipements sportifs pour 10 000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067647"/>
                <w:sz w:val="19"/>
                <w:szCs w:val="19"/>
              </w:rPr>
              <w:t xml:space="preserve">38,0</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39,2</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46,0</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28,1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674</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Bibliothèques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9</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601</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Cinémas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363</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Équipements sportifs pour 10 000 habitants : 38,0 en 2025, nettement au-dessus de la moyenne nationale (France : 28,1 ; département : 39,2 ; territoires semblables : 46,0).</w:t>
            </w:r>
          </w:p>
          <w:p>
            <w:pPr>
              <w:spacing w:after="60" w:line="300"/>
            </w:pPr>
            <w:r>
              <w:rPr>
                <w:rFonts w:ascii="Arial" w:cs="Arial" w:eastAsia="Arial" w:hAnsi="Arial"/>
                <w:color w:val="111827"/>
                <w:sz w:val="20"/>
                <w:szCs w:val="20"/>
              </w:rPr>
              <w:t xml:space="preserve">Indice de position sociale moyen des écoles : 91,4 en 2023, en dessous de la moyenne nationale (France : 106,3 ; département : 99,3 ; territoires semblables : 95,3).</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08  Santé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Accessibilité aux médecins généralistes (APL)</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1,8</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3,2</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3,8</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1 183</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Population en zone d'intervention prioritaire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100,0 %</w:t>
            </w:r>
            <w:r>
              <w:rPr>
                <w:rFonts w:ascii="Arial" w:cs="Arial" w:eastAsia="Arial" w:hAnsi="Arial"/>
                <w:color w:val="8A919C"/>
                <w:sz w:val="15"/>
                <w:szCs w:val="15"/>
              </w:rPr>
              <w:br/>
              <w:t xml:space="preserve">2026</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88,4 %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100,0 %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34,8 %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Médecins généralistes pour 10 000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4,2</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7,0</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1 128</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Médecins spécialistes pour 10 000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2,9</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6,9</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13,4</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613</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Infirmiers pour 10 000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11,9</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12,1</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16,6</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14,8</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908</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Dentistes pour 10 000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3,7</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3,7</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716</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Pharmacies pour 10 000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067647"/>
                <w:sz w:val="19"/>
                <w:szCs w:val="19"/>
              </w:rPr>
              <w:t xml:space="preserve">4,0</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3,6</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184</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Maisons de santé</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0</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1 017</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Population en zone d'intervention prioritaire : 100,0 % en 2026, plus du double de la moyenne nationale (France : 34,8 % ; département : 88,4 % ; territoires semblables : 100,0 %).</w:t>
            </w:r>
          </w:p>
          <w:p>
            <w:pPr>
              <w:spacing w:after="60" w:line="300"/>
            </w:pPr>
            <w:r>
              <w:rPr>
                <w:rFonts w:ascii="Arial" w:cs="Arial" w:eastAsia="Arial" w:hAnsi="Arial"/>
                <w:color w:val="111827"/>
                <w:sz w:val="20"/>
                <w:szCs w:val="20"/>
              </w:rPr>
              <w:t xml:space="preserve">Médecins spécialistes pour 10 000 habitants : 2,9 en 2025, moins de la moitié de la moyenne nationale (France : 13,4 ; département : 5,4 ; territoires semblables : 6,9).</w:t>
            </w:r>
          </w:p>
          <w:p>
            <w:pPr>
              <w:spacing w:after="60" w:line="300"/>
            </w:pPr>
            <w:r>
              <w:rPr>
                <w:rFonts w:ascii="Arial" w:cs="Arial" w:eastAsia="Arial" w:hAnsi="Arial"/>
                <w:color w:val="111827"/>
                <w:sz w:val="20"/>
                <w:szCs w:val="20"/>
              </w:rPr>
              <w:t xml:space="preserve">Médecins généralistes pour 10 000 habitants : 4,2 en 2025, moins de la moitié de la moyenne nationale (France : 9,0 ; département : 5,4 ; territoires semblables : 7,0).</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09  Seniors et solidarités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80 ans et plus vivant seuls à domicile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1 563</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243</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+9,5 %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80 ans et plus vivant seuls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51,9 %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49,2 %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52,7 %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48,4 %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189</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+1,8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Résidences principales de propriétaires de 80 ans ou plus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10,5 %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9,4 %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8,4 %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7,0 %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231</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Établissements d'hébergement pour personnes âgées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7</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333</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Services d'aide et de soins à domicile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7</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356</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Crèches et micro-crèches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609</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Allocataires du RSA</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1 710</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150</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+1,8 %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allocataires du RSA</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4,5 %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2,9 %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3,6 %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2,5 %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21</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+0,2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Foyers allocataires à bas revenus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3 170</w:t>
            </w:r>
            <w:r>
              <w:rPr>
                <w:rFonts w:ascii="Arial" w:cs="Arial" w:eastAsia="Arial" w:hAnsi="Arial"/>
                <w:color w:val="8A919C"/>
                <w:sz w:val="15"/>
                <w:szCs w:val="15"/>
              </w:rPr>
              <w:br/>
              <w:t xml:space="preserve">2019</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205</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Part des allocataires du RSA : 4,5 % en 2023, nettement au-dessus de la moyenne nationale (France : 2,5 % ; département : 2,9 % ; territoires semblables : 3,6 %), stable en cinq ans.</w:t>
            </w:r>
          </w:p>
          <w:p>
            <w:pPr>
              <w:spacing w:after="60" w:line="300"/>
            </w:pPr>
            <w:r>
              <w:rPr>
                <w:rFonts w:ascii="Arial" w:cs="Arial" w:eastAsia="Arial" w:hAnsi="Arial"/>
                <w:color w:val="111827"/>
                <w:sz w:val="20"/>
                <w:szCs w:val="20"/>
              </w:rPr>
              <w:t xml:space="preserve">Résidences principales de propriétaires de 80 ans ou plus : 10,5 % en 2023, nettement au-dessus de la moyenne nationale (France : 7,0 % ; département : 9,4 % ; territoires semblables : 8,4 %).</w:t>
            </w:r>
          </w:p>
          <w:p>
            <w:pPr>
              <w:spacing w:after="60" w:line="300"/>
            </w:pPr>
            <w:r>
              <w:rPr>
                <w:rFonts w:ascii="Arial" w:cs="Arial" w:eastAsia="Arial" w:hAnsi="Arial"/>
                <w:color w:val="111827"/>
                <w:sz w:val="20"/>
                <w:szCs w:val="20"/>
              </w:rPr>
              <w:t xml:space="preserve">80 ans et plus vivant seuls à domicile : 1 563 en 2023, en hausse de 9,5 % en cinq ans.</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10  Environnement et risques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Émissions de gaz à effet de serre par habitant (t CO2e)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7,5 t</w:t>
            </w:r>
            <w:r>
              <w:rPr>
                <w:rFonts w:ascii="Arial" w:cs="Arial" w:eastAsia="Arial" w:hAnsi="Arial"/>
                <w:color w:val="8A919C"/>
                <w:sz w:val="15"/>
                <w:szCs w:val="15"/>
              </w:rPr>
              <w:br/>
              <w:t xml:space="preserve">2016</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10,2 t</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7,0 t</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7,2 t</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653</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Surfaces artificialisées (flux annuel, m²)</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79 306</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724</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-35,7 %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dont pour l'habitat (m²)</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55 759</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699</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-40,7 %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dont pour l'activité (m²)</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16 386</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547</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+22,8 %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Voitures rechargeables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1,3 %</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3,2 %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1 102</w:t>
            </w:r>
            <w:r>
              <w:rPr>
                <w:rFonts w:ascii="Arial" w:cs="Arial" w:eastAsia="Arial" w:hAnsi="Arial"/>
                <w:color w:val="8A919C"/>
                <w:sz w:val="15"/>
                <w:szCs w:val="15"/>
              </w:rPr>
              <w:br/>
              <w:t xml:space="preserve">sur 1 207</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 pt</w:t>
            </w:r>
          </w:p>
        </w:tc>
      </w:tr>
      <w:t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21"/>
                <w:szCs w:val="21"/>
              </w:rPr>
              <w:t xml:space="preserve">Risques recensés</w:t>
            </w:r>
          </w:p>
        </w:tc>
        <w:tc>
          <w:tcPr>
            <w:gridSpan w:val="6"/>
            <w:tcBorders>
              <w:top w:val="none" w:color="FFFFFF" w:sz="0"/>
              <w:left w:val="none" w:color="FFFFFF" w:sz="0"/>
              <w:bottom w:val="single" w:color="EEF0F3" w:sz="4"/>
              <w:right w:val="none" w:color="FFFFFF" w:sz="0"/>
            </w:tcBorders>
            <w:tcMar>
              <w:top w:type="dxa" w:w="60"/>
              <w:left w:type="dxa" w:w="80"/>
              <w:bottom w:type="dxa" w:w="60"/>
              <w:right w:type="dxa" w:w="80"/>
            </w:tcMar>
          </w:tcPr>
          <w:p>
            <w:r>
              <w:rPr>
                <w:rFonts w:ascii="Arial" w:cs="Arial" w:eastAsia="Arial" w:hAnsi="Arial"/>
                <w:color w:val="111827"/>
                <w:sz w:val="19"/>
                <w:szCs w:val="19"/>
              </w:rPr>
              <w:t xml:space="preserve">Feu de forêt, Mouvement de terrain, Phénomène lié à l'atmosphère, Risque industriel, Rupture de barrage, Séisme, Transport de marchandises dangereuses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Surface exposée au retrait-gonflement des argiles (fort)</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46,6 %</w:t>
            </w:r>
            <w:r>
              <w:rPr>
                <w:rFonts w:ascii="Arial" w:cs="Arial" w:eastAsia="Arial" w:hAnsi="Arial"/>
                <w:color w:val="8A919C"/>
                <w:sz w:val="15"/>
                <w:szCs w:val="15"/>
              </w:rPr>
              <w:br/>
              <w:t xml:space="preserve">2026</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42,1 %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0,1 %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19,4 %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200</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Surface exposée au retrait-gonflement des argiles (fort) : 46,6 % en 2026, plus du double de la moyenne nationale (France : 19,4 % ; département : 42,1 % ; territoires semblables : 0,1 %).</w:t>
            </w:r>
          </w:p>
          <w:p>
            <w:pPr>
              <w:spacing w:after="60" w:line="300"/>
            </w:pPr>
            <w:r>
              <w:rPr>
                <w:rFonts w:ascii="Arial" w:cs="Arial" w:eastAsia="Arial" w:hAnsi="Arial"/>
                <w:color w:val="111827"/>
                <w:sz w:val="20"/>
                <w:szCs w:val="20"/>
              </w:rPr>
              <w:t xml:space="preserve">Voitures rechargeables : 1,3 % en 2025, moins de la moitié de la moyenne nationale (France : 3,2 % ; département : 1,9 % ; territoires semblables : 1,9 %), en hausse de 1,1 point en cinq ans.</w:t>
            </w:r>
          </w:p>
          <w:p>
            <w:pPr>
              <w:spacing w:after="60" w:line="300"/>
            </w:pPr>
            <w:r>
              <w:rPr>
                <w:rFonts w:ascii="Arial" w:cs="Arial" w:eastAsia="Arial" w:hAnsi="Arial"/>
                <w:color w:val="111827"/>
                <w:sz w:val="20"/>
                <w:szCs w:val="20"/>
              </w:rPr>
              <w:t xml:space="preserve">dont pour l'habitat (m²) : 55 759 en 2023, en baisse de 40,7 % en cinq ans.</w:t>
            </w:r>
          </w:p>
          <w:p>
            <w:pPr>
              <w:spacing w:after="60" w:line="300"/>
            </w:pPr>
            <w:r>
              <w:rPr>
                <w:rFonts w:ascii="Arial" w:cs="Arial" w:eastAsia="Arial" w:hAnsi="Arial"/>
                <w:color w:val="111827"/>
                <w:sz w:val="20"/>
                <w:szCs w:val="20"/>
              </w:rPr>
              <w:t xml:space="preserve">Surfaces artificialisées (flux annuel, m²) : 79 306 en 2023, en baisse de 35,7 % en cinq ans.</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11  Sécurité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Cambriolages de logement pour 1 000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3,7</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2,9</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2,8</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75</w:t>
            </w:r>
            <w:r>
              <w:rPr>
                <w:rFonts w:ascii="Arial" w:cs="Arial" w:eastAsia="Arial" w:hAnsi="Arial"/>
                <w:color w:val="8A919C"/>
                <w:sz w:val="15"/>
                <w:szCs w:val="15"/>
              </w:rPr>
              <w:br/>
              <w:t xml:space="preserve">sur 1 200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+13,3 %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Violences physiques ou sexuelles pour 1 000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067647"/>
                <w:sz w:val="19"/>
                <w:szCs w:val="19"/>
              </w:rPr>
              <w:t xml:space="preserve">5,3</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355</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-4,1 %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Vols liés aux véhicules pour 1 000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6,4</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2,8</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2,6</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6,9</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83</w:t>
            </w:r>
            <w:r>
              <w:rPr>
                <w:rFonts w:ascii="Arial" w:cs="Arial" w:eastAsia="Arial" w:hAnsi="Arial"/>
                <w:color w:val="8A919C"/>
                <w:sz w:val="15"/>
                <w:szCs w:val="15"/>
              </w:rPr>
              <w:br/>
              <w:t xml:space="preserve">sur 1 231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+100,1 %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Dégradations pour 1 000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8,8</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6,0</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7,5</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104</w:t>
            </w:r>
            <w:r>
              <w:rPr>
                <w:rFonts w:ascii="Arial" w:cs="Arial" w:eastAsia="Arial" w:hAnsi="Arial"/>
                <w:color w:val="8A919C"/>
                <w:sz w:val="15"/>
                <w:szCs w:val="15"/>
              </w:rPr>
              <w:br/>
              <w:t xml:space="preserve">sur 1 221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-16,3 %</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Cambriolages de logement pour 1 000 habitants : 3,7 en 2024, nettement au-dessus de la moyenne nationale (France : 2,8 ; département : 2,9 ; territoires semblables : 1,5), en hausse de 13,3 % en cinq ans.</w:t>
            </w:r>
          </w:p>
          <w:p>
            <w:pPr>
              <w:spacing w:after="60" w:line="300"/>
            </w:pPr>
            <w:r>
              <w:rPr>
                <w:rFonts w:ascii="Arial" w:cs="Arial" w:eastAsia="Arial" w:hAnsi="Arial"/>
                <w:color w:val="111827"/>
                <w:sz w:val="20"/>
                <w:szCs w:val="20"/>
              </w:rPr>
              <w:t xml:space="preserve">Violences physiques ou sexuelles pour 1 000 habitants : 5,3 en 2024, nettement en dessous de la moyenne nationale (France : 7,1 ; département : 4,0 ; territoires semblables : 7,3), en baisse de 4,1 % en cinq ans.</w:t>
            </w:r>
          </w:p>
          <w:p>
            <w:pPr>
              <w:spacing w:after="60" w:line="300"/>
            </w:pPr>
            <w:r>
              <w:rPr>
                <w:rFonts w:ascii="Arial" w:cs="Arial" w:eastAsia="Arial" w:hAnsi="Arial"/>
                <w:color w:val="111827"/>
                <w:sz w:val="20"/>
                <w:szCs w:val="20"/>
              </w:rPr>
              <w:t xml:space="preserve">Dégradations pour 1 000 habitants : 8,8 en 2024, au-dessus de la moyenne nationale (France : 7,5 ; département : 6,0 ; territoires semblables : 8,5), en baisse de 16,3 % en cinq ans.</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12  Contrastes à l'intérieur du territoire</w:t>
      </w:r>
    </w:p>
    <w:p>
      <w:pPr>
        <w:spacing w:after="200" w:line="300"/>
      </w:pPr>
      <w:r>
        <w:rPr>
          <w:rFonts w:ascii="Arial" w:cs="Arial" w:eastAsia="Arial" w:hAnsi="Arial"/>
          <w:color w:val="5B6472"/>
          <w:sz w:val="20"/>
          <w:szCs w:val="20"/>
        </w:rPr>
        <w:t xml:space="preserve">Les moyennes cachent des écarts d'un quartier à l'autre. Les données carroyées de l'Insee découpent le territoire en carrés de 200 m ou de 1 km : pour chaque indicateur, la valeur d'ensemble, l'écart entre les habitants des carreaux les plus bas et les plus hauts, et la part des habitants dans les classes nationales les plus basses et les plus hautes (chaque classe regroupe un septième des habitants de France).</w:t>
      </w:r>
    </w:p>
    <w:p>
      <w:pPr>
        <w:spacing w:after="60" w:line="300"/>
      </w:pPr>
      <w:r>
        <w:rPr>
          <w:rFonts w:ascii="Arial" w:cs="Arial" w:eastAsia="Arial" w:hAnsi="Arial"/>
          <w:b/>
          <w:bCs/>
          <w:color w:val="111827"/>
          <w:sz w:val="21"/>
          <w:szCs w:val="21"/>
        </w:rPr>
        <w:t xml:space="preserve">Niveau de vie moyen</w:t>
      </w:r>
      <w:r>
        <w:rPr>
          <w:rFonts w:ascii="Arial" w:cs="Arial" w:eastAsia="Arial" w:hAnsi="Arial"/>
          <w:color w:val="8A919C"/>
          <w:sz w:val="18"/>
          <w:szCs w:val="18"/>
        </w:rPr>
        <w:t xml:space="preserve"> · Carreaux de 200 m, 2021</w:t>
      </w:r>
    </w:p>
    <w:p>
      <w:pPr>
        <w:spacing w:after="80"/>
      </w:pPr>
      <w:r>
        <w:drawing>
          <wp:inline distT="0" distB="0" distL="0" distR="0">
            <wp:extent cx="5334000" cy="389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34000" cy="3895725"/>
                    </a:xfrm>
                    <a:prstGeom prst="rect">
                      <a:avLst/>
                    </a:prstGeom>
                  </pic:spPr>
                </pic:pic>
              </a:graphicData>
            </a:graphic>
          </wp:inline>
        </w:drawing>
      </w:r>
    </w:p>
    <w:p>
      <w:pPr>
        <w:spacing w:after="200" w:line="300"/>
      </w:pPr>
      <w:r>
        <w:rPr>
          <w:rFonts w:ascii="Arial" w:cs="Arial" w:eastAsia="Arial" w:hAnsi="Arial"/>
          <w:color w:val="111827"/>
          <w:sz w:val="20"/>
          <w:szCs w:val="20"/>
        </w:rPr>
        <w:t xml:space="preserve">Ensemble : 21 346 € par an. Un habitant sur dix vit dans un carreau à moins de 16 401 € par an, un sur dix dans un carreau à plus de 25 433 € par an. 53 % des habitants vivent dans les deux classes nationales les plus basses, 2 % dans les deux plus hautes.</w:t>
      </w:r>
    </w:p>
    <w:p>
      <w:pPr>
        <w:spacing w:after="60" w:line="300"/>
      </w:pPr>
      <w:r>
        <w:rPr>
          <w:rFonts w:ascii="Arial" w:cs="Arial" w:eastAsia="Arial" w:hAnsi="Arial"/>
          <w:b/>
          <w:bCs/>
          <w:color w:val="111827"/>
          <w:sz w:val="21"/>
          <w:szCs w:val="21"/>
        </w:rPr>
        <w:t xml:space="preserve">Part des 65 ans ou plus</w:t>
      </w:r>
      <w:r>
        <w:rPr>
          <w:rFonts w:ascii="Arial" w:cs="Arial" w:eastAsia="Arial" w:hAnsi="Arial"/>
          <w:color w:val="8A919C"/>
          <w:sz w:val="18"/>
          <w:szCs w:val="18"/>
        </w:rPr>
        <w:t xml:space="preserve"> · Carreaux de 200 m, 2021</w:t>
      </w:r>
    </w:p>
    <w:p>
      <w:pPr>
        <w:spacing w:after="80"/>
      </w:pPr>
      <w:r>
        <w:drawing>
          <wp:inline distT="0" distB="0" distL="0" distR="0">
            <wp:extent cx="5334000" cy="389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3895725"/>
                    </a:xfrm>
                    <a:prstGeom prst="rect">
                      <a:avLst/>
                    </a:prstGeom>
                  </pic:spPr>
                </pic:pic>
              </a:graphicData>
            </a:graphic>
          </wp:inline>
        </w:drawing>
      </w:r>
    </w:p>
    <w:p>
      <w:pPr>
        <w:spacing w:after="200" w:line="300"/>
      </w:pPr>
      <w:r>
        <w:rPr>
          <w:rFonts w:ascii="Arial" w:cs="Arial" w:eastAsia="Arial" w:hAnsi="Arial"/>
          <w:color w:val="111827"/>
          <w:sz w:val="20"/>
          <w:szCs w:val="20"/>
        </w:rPr>
        <w:t xml:space="preserve">Ensemble : 27,1 %. Un habitant sur dix vit dans un carreau à moins de 14,5 %, un sur dix dans un carreau à plus de 41,2 %. 8 % des habitants vivent dans les deux classes nationales les plus basses, 53 % dans les deux plus hautes.</w:t>
      </w:r>
    </w:p>
    <w:p>
      <w:pPr>
        <w:spacing w:after="60" w:line="300"/>
      </w:pPr>
      <w:r>
        <w:rPr>
          <w:rFonts w:ascii="Arial" w:cs="Arial" w:eastAsia="Arial" w:hAnsi="Arial"/>
          <w:b/>
          <w:bCs/>
          <w:color w:val="111827"/>
          <w:sz w:val="21"/>
          <w:szCs w:val="21"/>
        </w:rPr>
        <w:t xml:space="preserve">Part des ménages propriétaires</w:t>
      </w:r>
      <w:r>
        <w:rPr>
          <w:rFonts w:ascii="Arial" w:cs="Arial" w:eastAsia="Arial" w:hAnsi="Arial"/>
          <w:color w:val="8A919C"/>
          <w:sz w:val="18"/>
          <w:szCs w:val="18"/>
        </w:rPr>
        <w:t xml:space="preserve"> · Carreaux de 200 m, 2021</w:t>
      </w:r>
    </w:p>
    <w:p>
      <w:pPr>
        <w:spacing w:after="80"/>
      </w:pPr>
      <w:r>
        <w:drawing>
          <wp:inline distT="0" distB="0" distL="0" distR="0">
            <wp:extent cx="5334000" cy="389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34000" cy="3895725"/>
                    </a:xfrm>
                    <a:prstGeom prst="rect">
                      <a:avLst/>
                    </a:prstGeom>
                  </pic:spPr>
                </pic:pic>
              </a:graphicData>
            </a:graphic>
          </wp:inline>
        </w:drawing>
      </w:r>
    </w:p>
    <w:p>
      <w:pPr>
        <w:spacing w:after="200" w:line="300"/>
      </w:pPr>
      <w:r>
        <w:rPr>
          <w:rFonts w:ascii="Arial" w:cs="Arial" w:eastAsia="Arial" w:hAnsi="Arial"/>
          <w:color w:val="111827"/>
          <w:sz w:val="20"/>
          <w:szCs w:val="20"/>
        </w:rPr>
        <w:t xml:space="preserve">Ensemble : 65,8 %. Un habitant sur dix vit dans un carreau à moins de 22,2 %, un sur dix dans un carreau à plus de 94,7 %. 22 % des habitants vivent dans les deux classes nationales les plus basses, 38 % dans les deux plus hautes.</w:t>
      </w:r>
    </w:p>
    <w:p>
      <w:pPr>
        <w:pStyle w:val="Heading1"/>
        <w:pBdr>
          <w:bottom w:val="single" w:color="E6E9EE" w:sz="6" w:space="4"/>
        </w:pBdr>
        <w:spacing w:after="160" w:before="360"/>
      </w:pPr>
      <w:r>
        <w:rPr>
          <w:rFonts w:ascii="Arial" w:cs="Arial" w:eastAsia="Arial" w:hAnsi="Arial"/>
          <w:b/>
          <w:bCs/>
          <w:color w:val="111827"/>
          <w:sz w:val="30"/>
          <w:szCs w:val="30"/>
        </w:rPr>
        <w:t xml:space="preserve">Méthodologie et sources</w:t>
      </w:r>
    </w:p>
    <w:p>
      <w:pPr>
        <w:spacing w:after="80" w:line="300"/>
      </w:pPr>
      <w:r>
        <w:rPr>
          <w:rFonts w:ascii="Arial" w:cs="Arial" w:eastAsia="Arial" w:hAnsi="Arial"/>
          <w:color w:val="5B6472"/>
          <w:sz w:val="18"/>
          <w:szCs w:val="18"/>
        </w:rPr>
        <w:t xml:space="preserve">Valeurs : dernière année disponible de chaque indicateur (indiquée sous la valeur). Semblables : médiane des territoires du même niveau au profil le plus proche (taille, densité, niveau de vie, âge, chômage, logement social). Rang : position du territoire parmi les territoires du même niveau (1 = valeur la plus forte). Évolution sur 5 ans : écart avec la valeur de cinq ans plus tôt, en points pour les pourcentages, en % pour les autres indicateurs. Couleurs : en vert, un écart d'au moins 10 % à la moyenne nationale dans le sens favorable ; en rouge, dans le sens défavorable. Points forts et de vigilance : indicateurs comparables pour lesquels le territoire se situe parmi les 15 % des territoires aux valeurs les plus favorables ou les plus défavorables.</w:t>
      </w:r>
    </w:p>
    <w:p>
      <w:pPr>
        <w:spacing w:after="80" w:line="300"/>
      </w:pPr>
      <w:r>
        <w:rPr>
          <w:rFonts w:ascii="Arial" w:cs="Arial" w:eastAsia="Arial" w:hAnsi="Arial"/>
          <w:color w:val="5B6472"/>
          <w:sz w:val="18"/>
          <w:szCs w:val="18"/>
        </w:rPr>
        <w:t xml:space="preserve">Données carroyées : Insee, Filosofi (carreaux de 200 m) et recensement de la population (carreaux de 1 km). Les petits carreaux sont regroupés ou estimés par l'Insee au titre du secret statistique.</w:t>
      </w:r>
    </w:p>
    <w:p>
      <w:pPr>
        <w:spacing w:after="80" w:line="300"/>
      </w:pPr>
      <w:r>
        <w:rPr>
          <w:rFonts w:ascii="Arial" w:cs="Arial" w:eastAsia="Arial" w:hAnsi="Arial"/>
          <w:color w:val="5B6472"/>
          <w:sz w:val="18"/>
          <w:szCs w:val="18"/>
        </w:rPr>
        <w:t xml:space="preserve">Sources : ADEME ; ARS (DataSanté) ; Agence ORE ; BODACC ; Caf ; Cerema ; Citepa ; DEPP ; DGFiP ; DGFiP (Lovac) ; DREES ; DVF ; DVF, Insee ; Geodashboard, d'après Insee et Ademe ; Géorisques ; Insee ; Min. Intérieur ; RPLS.</w:t>
      </w:r>
    </w:p>
    <w:p>
      <w:pPr>
        <w:spacing w:after="80"/>
      </w:pPr>
      <w:r>
        <w:rPr>
          <w:rFonts w:ascii="Arial" w:cs="Arial" w:eastAsia="Arial" w:hAnsi="Arial"/>
          <w:color w:val="5B6472"/>
          <w:sz w:val="18"/>
          <w:szCs w:val="18"/>
        </w:rPr>
        <w:t xml:space="preserve">Dossier produit par Geodashboard (</w:t>
      </w:r>
      <w:hyperlink w:history="1" r:id="rId_chowdmbswyo2z8a6jsks">
        <w:r>
          <w:rPr>
            <w:rFonts w:ascii="Arial" w:cs="Arial" w:eastAsia="Arial" w:hAnsi="Arial"/>
            <w:color w:val="0052CC"/>
            <w:sz w:val="18"/>
            <w:szCs w:val="18"/>
            <w:u w:val="single"/>
          </w:rPr>
          <w:t xml:space="preserve">geodashboard.fr</w:t>
        </w:r>
      </w:hyperlink>
      <w:r>
        <w:rPr>
          <w:rFonts w:ascii="Arial" w:cs="Arial" w:eastAsia="Arial" w:hAnsi="Arial"/>
          <w:color w:val="5B6472"/>
          <w:sz w:val="18"/>
          <w:szCs w:val="18"/>
        </w:rPr>
        <w:t xml:space="preserve">) à partir des données publiques officielles.</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8A919C"/>
        <w:sz w:val="16"/>
        <w:szCs w:val="16"/>
      </w:rPr>
      <w:t xml:space="preserve">geodashboard.fr · page </w:t>
    </w:r>
    <w:r>
      <w:rPr>
        <w:rFonts w:ascii="Arial" w:cs="Arial" w:eastAsia="Arial" w:hAnsi="Arial"/>
        <w:color w:val="8A919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8A919C"/>
        <w:sz w:val="16"/>
        <w:szCs w:val="16"/>
      </w:rPr>
      <w:t xml:space="preserve">Rapport de territoire · CC Vierzon-Sologne-Berry et Villages de la Forêt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_chowdmbswyo2z8a6jsks" Type="http://schemas.openxmlformats.org/officeDocument/2006/relationships/hyperlink" Target="https://geodashboard.fr" TargetMode="External"/><Relationship Id="rId9" Type="http://schemas.openxmlformats.org/officeDocument/2006/relationships/image" Target="media/f9fd6071608667d1c7318a45f24f7d4979c24cdc.png"/><Relationship Id="rId10" Type="http://schemas.openxmlformats.org/officeDocument/2006/relationships/image" Target="media/ef4d9354b86216df99d1b1671b5fc780d75b76ba.png"/><Relationship Id="rId11" Type="http://schemas.openxmlformats.org/officeDocument/2006/relationships/image" Target="media/3e8a18a067e01e0423f53269410013325048f122.png"/><Relationship Id="rId12" Type="http://schemas.openxmlformats.org/officeDocument/2006/relationships/image" Target="media/65dcf6a1e3195fab244d0acb8049eba8852af700.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territoire — CC Vierzon-Sologne-Berry et Villages de la Forêt</dc:title>
  <dc:creator>Geodashboard</dc:creator>
  <cp:lastModifiedBy>Un-named</cp:lastModifiedBy>
  <cp:revision>1</cp:revision>
  <dcterms:created xsi:type="dcterms:W3CDTF">2026-11-03T23:57:43.773Z</dcterms:created>
  <dcterms:modified xsi:type="dcterms:W3CDTF">2026-11-03T23:57:43.773Z</dcterms:modified>
</cp:coreProperties>
</file>

<file path=docProps/custom.xml><?xml version="1.0" encoding="utf-8"?>
<Properties xmlns="http://schemas.openxmlformats.org/officeDocument/2006/custom-properties" xmlns:vt="http://schemas.openxmlformats.org/officeDocument/2006/docPropsVTypes"/>
</file>